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4"/>
        <w:rPr>
          <w:color w:val="000000" w:themeColor="text1"/>
        </w:rPr>
      </w:pPr>
      <w:bookmarkStart w:id="0" w:name="_Hlk92531532"/>
      <w:bookmarkEnd w:id="0"/>
    </w:p>
    <w:p>
      <w:pPr>
        <w:pStyle w:val="44"/>
        <w:rPr>
          <w:color w:val="000000" w:themeColor="text1"/>
        </w:rPr>
      </w:pPr>
    </w:p>
    <w:p>
      <w:pPr>
        <w:pStyle w:val="44"/>
        <w:rPr>
          <w:color w:val="000000" w:themeColor="text1"/>
        </w:rPr>
      </w:pPr>
    </w:p>
    <w:p>
      <w:pPr>
        <w:pStyle w:val="44"/>
        <w:rPr>
          <w:color w:val="000000" w:themeColor="text1"/>
        </w:rPr>
      </w:pPr>
    </w:p>
    <w:p>
      <w:pPr>
        <w:pStyle w:val="44"/>
        <w:rPr>
          <w:color w:val="000000" w:themeColor="text1"/>
        </w:rPr>
      </w:pPr>
    </w:p>
    <w:p>
      <w:pPr>
        <w:pStyle w:val="44"/>
        <w:rPr>
          <w:color w:val="000000" w:themeColor="text1"/>
        </w:rPr>
      </w:pPr>
    </w:p>
    <w:p>
      <w:pPr>
        <w:pStyle w:val="44"/>
        <w:rPr>
          <w:color w:val="000000" w:themeColor="text1"/>
        </w:rPr>
      </w:pPr>
    </w:p>
    <w:p>
      <w:pPr>
        <w:pStyle w:val="44"/>
        <w:rPr>
          <w:color w:val="000000" w:themeColor="text1"/>
        </w:rPr>
      </w:pPr>
    </w:p>
    <w:p>
      <w:pPr>
        <w:pStyle w:val="44"/>
        <w:ind w:right="-197" w:rightChars="-94"/>
        <w:jc w:val="center"/>
        <w:rPr>
          <w:rFonts w:ascii="方正小标宋简体" w:eastAsia="方正小标宋简体"/>
          <w:b/>
          <w:bCs/>
          <w:color w:val="000000" w:themeColor="text1"/>
          <w:sz w:val="64"/>
          <w:szCs w:val="64"/>
        </w:rPr>
      </w:pPr>
      <w:r>
        <w:rPr>
          <w:rFonts w:hint="eastAsia" w:ascii="方正小标宋简体" w:eastAsia="方正小标宋简体"/>
          <w:b/>
          <w:bCs/>
          <w:color w:val="000000" w:themeColor="text1"/>
          <w:sz w:val="64"/>
          <w:szCs w:val="64"/>
        </w:rPr>
        <w:t>数字玉林发展“十四五”规划</w:t>
      </w:r>
    </w:p>
    <w:p>
      <w:pPr>
        <w:pStyle w:val="44"/>
        <w:jc w:val="center"/>
        <w:rPr>
          <w:rFonts w:ascii="方正小标宋简体" w:eastAsia="方正小标宋简体"/>
          <w:color w:val="000000" w:themeColor="text1"/>
          <w:sz w:val="52"/>
          <w:szCs w:val="52"/>
        </w:rPr>
      </w:pPr>
      <w:r>
        <w:rPr>
          <w:rFonts w:hint="eastAsia" w:ascii="方正小标宋简体" w:eastAsia="方正小标宋简体"/>
          <w:color w:val="000000" w:themeColor="text1"/>
          <w:sz w:val="52"/>
          <w:szCs w:val="52"/>
        </w:rPr>
        <w:t>（征求意见稿）</w:t>
      </w:r>
    </w:p>
    <w:p>
      <w:pPr>
        <w:pStyle w:val="44"/>
        <w:rPr>
          <w:color w:val="000000" w:themeColor="text1"/>
        </w:rPr>
      </w:pPr>
    </w:p>
    <w:p>
      <w:pPr>
        <w:pStyle w:val="44"/>
        <w:rPr>
          <w:color w:val="000000" w:themeColor="text1"/>
        </w:rPr>
      </w:pPr>
    </w:p>
    <w:p>
      <w:pPr>
        <w:pStyle w:val="44"/>
        <w:rPr>
          <w:color w:val="000000" w:themeColor="text1"/>
        </w:rPr>
      </w:pPr>
    </w:p>
    <w:p>
      <w:pPr>
        <w:pStyle w:val="44"/>
        <w:rPr>
          <w:color w:val="000000" w:themeColor="text1"/>
        </w:rPr>
      </w:pPr>
    </w:p>
    <w:p>
      <w:pPr>
        <w:pStyle w:val="44"/>
        <w:rPr>
          <w:color w:val="000000" w:themeColor="text1"/>
        </w:rPr>
      </w:pPr>
    </w:p>
    <w:p>
      <w:pPr>
        <w:pStyle w:val="44"/>
        <w:rPr>
          <w:color w:val="000000" w:themeColor="text1"/>
        </w:rPr>
      </w:pPr>
    </w:p>
    <w:p>
      <w:pPr>
        <w:pStyle w:val="44"/>
        <w:rPr>
          <w:color w:val="000000" w:themeColor="text1"/>
        </w:rPr>
      </w:pPr>
    </w:p>
    <w:p>
      <w:pPr>
        <w:pStyle w:val="44"/>
        <w:rPr>
          <w:color w:val="000000" w:themeColor="text1"/>
        </w:rPr>
      </w:pPr>
    </w:p>
    <w:p>
      <w:pPr>
        <w:pStyle w:val="44"/>
        <w:rPr>
          <w:color w:val="000000" w:themeColor="text1"/>
        </w:rPr>
      </w:pPr>
    </w:p>
    <w:p>
      <w:pPr>
        <w:pStyle w:val="44"/>
        <w:rPr>
          <w:color w:val="000000" w:themeColor="text1"/>
        </w:rPr>
      </w:pPr>
    </w:p>
    <w:p>
      <w:pPr>
        <w:pStyle w:val="44"/>
        <w:rPr>
          <w:color w:val="000000" w:themeColor="text1"/>
        </w:rPr>
      </w:pPr>
    </w:p>
    <w:p>
      <w:pPr>
        <w:pStyle w:val="44"/>
        <w:rPr>
          <w:color w:val="000000" w:themeColor="text1"/>
        </w:rPr>
      </w:pPr>
    </w:p>
    <w:p>
      <w:pPr>
        <w:pStyle w:val="44"/>
        <w:rPr>
          <w:color w:val="000000" w:themeColor="text1"/>
        </w:rPr>
      </w:pPr>
    </w:p>
    <w:p>
      <w:pPr>
        <w:pStyle w:val="44"/>
        <w:rPr>
          <w:color w:val="000000" w:themeColor="text1"/>
        </w:rPr>
      </w:pPr>
    </w:p>
    <w:p>
      <w:pPr>
        <w:pStyle w:val="44"/>
        <w:rPr>
          <w:color w:val="000000" w:themeColor="text1"/>
        </w:rPr>
      </w:pPr>
    </w:p>
    <w:p>
      <w:pPr>
        <w:pStyle w:val="44"/>
        <w:rPr>
          <w:color w:val="000000" w:themeColor="text1"/>
        </w:rPr>
      </w:pPr>
    </w:p>
    <w:p>
      <w:pPr>
        <w:pStyle w:val="44"/>
        <w:rPr>
          <w:color w:val="000000" w:themeColor="text1"/>
        </w:rPr>
      </w:pPr>
    </w:p>
    <w:p>
      <w:pPr>
        <w:pStyle w:val="44"/>
        <w:jc w:val="center"/>
        <w:rPr>
          <w:rFonts w:ascii="楷体_GB2312" w:hAnsi="楷体_GB2312" w:eastAsia="楷体_GB2312"/>
          <w:b/>
          <w:bCs/>
          <w:color w:val="000000" w:themeColor="text1"/>
          <w:sz w:val="36"/>
          <w:szCs w:val="44"/>
        </w:rPr>
      </w:pPr>
      <w:r>
        <w:rPr>
          <w:rFonts w:hint="eastAsia" w:ascii="楷体_GB2312" w:hAnsi="楷体_GB2312" w:eastAsia="楷体_GB2312"/>
          <w:b/>
          <w:bCs/>
          <w:color w:val="000000" w:themeColor="text1"/>
          <w:sz w:val="36"/>
          <w:szCs w:val="44"/>
        </w:rPr>
        <w:t>二</w:t>
      </w:r>
      <w:r>
        <w:rPr>
          <w:rFonts w:hint="eastAsia" w:ascii="微软雅黑" w:hAnsi="微软雅黑" w:eastAsia="微软雅黑" w:cs="微软雅黑"/>
          <w:b/>
          <w:bCs/>
          <w:color w:val="000000" w:themeColor="text1"/>
          <w:sz w:val="36"/>
          <w:szCs w:val="44"/>
        </w:rPr>
        <w:t>〇</w:t>
      </w:r>
      <w:r>
        <w:rPr>
          <w:rFonts w:hint="eastAsia" w:ascii="楷体_GB2312" w:hAnsi="楷体_GB2312" w:eastAsia="楷体_GB2312" w:cs="楷体_GB2312"/>
          <w:b/>
          <w:bCs/>
          <w:color w:val="000000" w:themeColor="text1"/>
          <w:sz w:val="36"/>
          <w:szCs w:val="44"/>
        </w:rPr>
        <w:t>二</w:t>
      </w:r>
      <w:r>
        <w:rPr>
          <w:rFonts w:hint="eastAsia" w:ascii="楷体_GB2312" w:hAnsi="楷体_GB2312" w:eastAsia="楷体_GB2312"/>
          <w:b/>
          <w:bCs/>
          <w:color w:val="000000" w:themeColor="text1"/>
          <w:sz w:val="36"/>
          <w:szCs w:val="44"/>
        </w:rPr>
        <w:t>二年一月</w:t>
      </w:r>
    </w:p>
    <w:p>
      <w:pPr>
        <w:pStyle w:val="44"/>
        <w:rPr>
          <w:color w:val="000000" w:themeColor="text1"/>
        </w:rPr>
      </w:pPr>
    </w:p>
    <w:p>
      <w:pPr>
        <w:pStyle w:val="44"/>
        <w:rPr>
          <w:color w:val="000000" w:themeColor="text1"/>
        </w:rPr>
      </w:pPr>
    </w:p>
    <w:p>
      <w:pPr>
        <w:pStyle w:val="44"/>
        <w:rPr>
          <w:color w:val="000000" w:themeColor="text1"/>
        </w:rPr>
      </w:pPr>
    </w:p>
    <w:p>
      <w:pPr>
        <w:pStyle w:val="44"/>
        <w:rPr>
          <w:color w:val="000000" w:themeColor="text1"/>
        </w:rPr>
      </w:pPr>
    </w:p>
    <w:p>
      <w:pPr>
        <w:pStyle w:val="44"/>
        <w:rPr>
          <w:color w:val="000000" w:themeColor="text1"/>
        </w:rPr>
      </w:pPr>
    </w:p>
    <w:p>
      <w:pPr>
        <w:pStyle w:val="44"/>
        <w:rPr>
          <w:color w:val="000000" w:themeColor="text1"/>
        </w:rPr>
      </w:pPr>
    </w:p>
    <w:p>
      <w:pPr>
        <w:pStyle w:val="44"/>
        <w:rPr>
          <w:color w:val="000000" w:themeColor="text1"/>
        </w:rPr>
      </w:pPr>
    </w:p>
    <w:p>
      <w:pPr>
        <w:pStyle w:val="44"/>
        <w:rPr>
          <w:color w:val="000000" w:themeColor="text1"/>
        </w:rPr>
        <w:sectPr>
          <w:headerReference r:id="rId4" w:type="first"/>
          <w:footerReference r:id="rId5" w:type="default"/>
          <w:footerReference r:id="rId6" w:type="even"/>
          <w:pgSz w:w="11906" w:h="16838"/>
          <w:pgMar w:top="1440" w:right="1800" w:bottom="1440" w:left="1800" w:header="851" w:footer="992" w:gutter="0"/>
          <w:cols w:space="425" w:num="1"/>
          <w:titlePg/>
          <w:docGrid w:type="lines" w:linePitch="312" w:charSpace="0"/>
        </w:sectPr>
      </w:pPr>
    </w:p>
    <w:p>
      <w:pPr>
        <w:pStyle w:val="44"/>
        <w:rPr>
          <w:color w:val="000000" w:themeColor="text1"/>
        </w:rPr>
      </w:pPr>
    </w:p>
    <w:p>
      <w:pPr>
        <w:pStyle w:val="4"/>
        <w:keepNext w:val="0"/>
        <w:keepLines w:val="0"/>
        <w:adjustRightInd w:val="0"/>
        <w:snapToGrid w:val="0"/>
        <w:spacing w:before="0" w:after="0" w:line="600" w:lineRule="exact"/>
        <w:ind w:firstLine="0" w:firstLineChars="0"/>
        <w:jc w:val="center"/>
        <w:rPr>
          <w:rFonts w:ascii="方正小标宋简体" w:hAnsi="Times New Roman" w:eastAsia="方正小标宋简体" w:cs="方正黑体_GBK"/>
          <w:b w:val="0"/>
          <w:color w:val="000000" w:themeColor="text1"/>
          <w:kern w:val="21"/>
          <w:szCs w:val="36"/>
        </w:rPr>
      </w:pPr>
      <w:bookmarkStart w:id="1" w:name="_Toc92705029"/>
      <w:bookmarkStart w:id="2" w:name="_Toc92559831"/>
      <w:bookmarkStart w:id="3" w:name="_Toc93409970"/>
      <w:bookmarkStart w:id="4" w:name="_Toc89675726"/>
      <w:bookmarkStart w:id="5" w:name="_Toc93402454"/>
      <w:bookmarkStart w:id="6" w:name="_Toc93403239"/>
      <w:r>
        <w:rPr>
          <w:rFonts w:hint="eastAsia" w:ascii="方正小标宋简体" w:hAnsi="Times New Roman" w:eastAsia="方正小标宋简体" w:cs="方正黑体_GBK"/>
          <w:b w:val="0"/>
          <w:color w:val="000000" w:themeColor="text1"/>
          <w:kern w:val="21"/>
          <w:szCs w:val="36"/>
        </w:rPr>
        <w:t>前  言</w:t>
      </w:r>
      <w:bookmarkEnd w:id="1"/>
      <w:bookmarkEnd w:id="2"/>
      <w:bookmarkEnd w:id="3"/>
      <w:bookmarkEnd w:id="4"/>
      <w:bookmarkEnd w:id="5"/>
      <w:bookmarkEnd w:id="6"/>
    </w:p>
    <w:p>
      <w:pPr>
        <w:spacing w:line="600" w:lineRule="exact"/>
        <w:ind w:firstLine="640" w:firstLineChars="200"/>
        <w:rPr>
          <w:rFonts w:ascii="仿宋_GB2312" w:hAnsi="仿宋" w:eastAsia="仿宋_GB2312"/>
          <w:color w:val="000000" w:themeColor="text1"/>
          <w:kern w:val="0"/>
          <w:sz w:val="32"/>
          <w:szCs w:val="32"/>
        </w:rPr>
      </w:pPr>
      <w:r>
        <w:rPr>
          <w:rFonts w:hint="eastAsia" w:ascii="仿宋_GB2312" w:hAnsi="仿宋" w:eastAsia="仿宋_GB2312"/>
          <w:color w:val="000000" w:themeColor="text1"/>
          <w:kern w:val="0"/>
          <w:sz w:val="32"/>
          <w:szCs w:val="32"/>
        </w:rPr>
        <w:t>建设“数字中国”是习近平总书记对新时代国家信息化发展作出的新的战略部署。加快建设“数字广西”是广西壮族自治区党委、政府深入贯彻落实“数字中国”战略，构建数据引领型发展模式，推动经济高质量发展，促进社会治理体系和治理能力现代化做出的重大决策部署。</w:t>
      </w:r>
    </w:p>
    <w:p>
      <w:pPr>
        <w:pStyle w:val="19"/>
        <w:adjustRightInd w:val="0"/>
        <w:snapToGrid w:val="0"/>
        <w:spacing w:before="0" w:beforeAutospacing="0" w:after="0" w:afterAutospacing="0" w:line="600" w:lineRule="exact"/>
        <w:ind w:firstLine="640" w:firstLineChars="200"/>
        <w:jc w:val="both"/>
        <w:rPr>
          <w:rFonts w:ascii="仿宋_GB2312" w:hAnsi="Times New Roman" w:eastAsia="仿宋_GB2312"/>
          <w:bCs/>
          <w:color w:val="000000" w:themeColor="text1"/>
          <w:kern w:val="21"/>
          <w:sz w:val="32"/>
          <w:szCs w:val="32"/>
        </w:rPr>
      </w:pPr>
      <w:r>
        <w:rPr>
          <w:rFonts w:hint="eastAsia" w:ascii="仿宋_GB2312" w:hAnsi="Times New Roman" w:eastAsia="仿宋_GB2312"/>
          <w:bCs/>
          <w:color w:val="000000" w:themeColor="text1"/>
          <w:kern w:val="21"/>
          <w:sz w:val="32"/>
          <w:szCs w:val="32"/>
        </w:rPr>
        <w:t>玉林市市委、市政府深入学习贯彻习近平新时代中国特色社会主义思想和习近平总书记关于网络强国、数字中国、智慧社会的重要论述精神，把“数字玉林”建设作为落实数字中国战略的生动实践，作为加快推进“四强两区一美”两湾先行试验区建设的重要举措。大力加快数字社会、数字政府建设，提升公共服务、社会治理等数字化、智能化水平，持续深化“放管服”改革，积极培育数字经济，全面提升数字经济时代玉林发展的核心竞争力和综合实力。</w:t>
      </w:r>
    </w:p>
    <w:p>
      <w:pPr>
        <w:pStyle w:val="19"/>
        <w:adjustRightInd w:val="0"/>
        <w:snapToGrid w:val="0"/>
        <w:spacing w:before="0" w:beforeAutospacing="0" w:after="0" w:afterAutospacing="0" w:line="600" w:lineRule="exact"/>
        <w:ind w:firstLine="640" w:firstLineChars="200"/>
        <w:jc w:val="both"/>
        <w:rPr>
          <w:rFonts w:ascii="仿宋_GB2312" w:hAnsi="Times New Roman" w:eastAsia="仿宋_GB2312"/>
          <w:bCs/>
          <w:color w:val="000000" w:themeColor="text1"/>
          <w:kern w:val="21"/>
          <w:sz w:val="32"/>
          <w:szCs w:val="32"/>
        </w:rPr>
      </w:pPr>
      <w:r>
        <w:rPr>
          <w:rFonts w:hint="eastAsia" w:ascii="仿宋_GB2312" w:hAnsi="Times New Roman" w:eastAsia="仿宋_GB2312"/>
          <w:bCs/>
          <w:color w:val="000000" w:themeColor="text1"/>
          <w:kern w:val="21"/>
          <w:sz w:val="32"/>
          <w:szCs w:val="32"/>
        </w:rPr>
        <w:t>《数字玉林发展“十四五”规划》以党中央、国务院关于网络强国、数字中国建设的一系列重要战略部署为政策指导，以《数字广西发展“十四五”规划》、《玉林市国民经济和社会发展第十四个五年规划</w:t>
      </w:r>
      <w:r>
        <w:rPr>
          <w:rFonts w:ascii="Times New Roman" w:hAnsi="Times New Roman" w:eastAsia="仿宋_GB2312"/>
          <w:bCs/>
          <w:color w:val="000000" w:themeColor="text1"/>
          <w:kern w:val="21"/>
          <w:sz w:val="32"/>
          <w:szCs w:val="32"/>
        </w:rPr>
        <w:t>和2035</w:t>
      </w:r>
      <w:r>
        <w:rPr>
          <w:rFonts w:hint="eastAsia" w:ascii="仿宋_GB2312" w:hAnsi="Times New Roman" w:eastAsia="仿宋_GB2312"/>
          <w:bCs/>
          <w:color w:val="000000" w:themeColor="text1"/>
          <w:kern w:val="21"/>
          <w:sz w:val="32"/>
          <w:szCs w:val="32"/>
        </w:rPr>
        <w:t>年远景目标纲要》为编制依据，是规范和指导全市各级各部门、各行业、各领域信息化</w:t>
      </w:r>
      <w:r>
        <w:rPr>
          <w:rFonts w:ascii="Times New Roman" w:hAnsi="Times New Roman" w:eastAsia="仿宋_GB2312"/>
          <w:bCs/>
          <w:color w:val="000000" w:themeColor="text1"/>
          <w:kern w:val="21"/>
          <w:sz w:val="32"/>
          <w:szCs w:val="32"/>
        </w:rPr>
        <w:t>发展的纲领性文件。本规划的规划基期为2020年，规划期为2021-2025年。</w:t>
      </w:r>
    </w:p>
    <w:p>
      <w:pPr>
        <w:widowControl/>
        <w:jc w:val="left"/>
        <w:rPr>
          <w:color w:val="000000" w:themeColor="text1"/>
        </w:rPr>
      </w:pPr>
    </w:p>
    <w:p>
      <w:pPr>
        <w:pStyle w:val="44"/>
        <w:rPr>
          <w:color w:val="000000" w:themeColor="text1"/>
        </w:rPr>
        <w:sectPr>
          <w:pgSz w:w="11906" w:h="16838"/>
          <w:pgMar w:top="1440" w:right="1800" w:bottom="1440" w:left="1800" w:header="851" w:footer="992" w:gutter="0"/>
          <w:cols w:space="425" w:num="1"/>
          <w:titlePg/>
          <w:docGrid w:type="lines" w:linePitch="312" w:charSpace="0"/>
        </w:sectPr>
      </w:pPr>
    </w:p>
    <w:p>
      <w:pPr>
        <w:pStyle w:val="44"/>
        <w:rPr>
          <w:color w:val="000000" w:themeColor="text1"/>
        </w:rPr>
      </w:pPr>
    </w:p>
    <w:sdt>
      <w:sdtPr>
        <w:rPr>
          <w:rFonts w:hint="eastAsia" w:ascii="方正小标宋简体" w:hAnsi="Times New Roman" w:eastAsia="方正小标宋简体" w:cs="Times New Roman"/>
          <w:b/>
          <w:bCs/>
          <w:color w:val="000000" w:themeColor="text1"/>
          <w:kern w:val="2"/>
          <w:sz w:val="40"/>
          <w:szCs w:val="40"/>
        </w:rPr>
        <w:id w:val="-513224670"/>
        <w:docPartObj>
          <w:docPartGallery w:val="Table of Contents"/>
          <w:docPartUnique/>
        </w:docPartObj>
      </w:sdtPr>
      <w:sdtEndPr>
        <w:rPr>
          <w:rFonts w:hint="default" w:ascii="Times New Roman" w:hAnsi="Times New Roman" w:eastAsia="宋体" w:cs="Times New Roman"/>
          <w:b/>
          <w:bCs/>
          <w:color w:val="000000" w:themeColor="text1"/>
          <w:kern w:val="2"/>
          <w:sz w:val="21"/>
          <w:szCs w:val="24"/>
          <w:lang w:val="zh-CN"/>
        </w:rPr>
      </w:sdtEndPr>
      <w:sdtContent>
        <w:p>
          <w:pPr>
            <w:pStyle w:val="50"/>
            <w:spacing w:line="580" w:lineRule="exact"/>
            <w:jc w:val="center"/>
            <w:rPr>
              <w:rFonts w:ascii="方正小标宋简体" w:eastAsia="方正小标宋简体"/>
              <w:color w:val="000000" w:themeColor="text1"/>
              <w:sz w:val="40"/>
              <w:szCs w:val="40"/>
            </w:rPr>
          </w:pPr>
          <w:r>
            <w:rPr>
              <w:rFonts w:hint="eastAsia" w:ascii="方正小标宋简体" w:eastAsia="方正小标宋简体"/>
              <w:b/>
              <w:bCs/>
              <w:color w:val="000000" w:themeColor="text1"/>
              <w:sz w:val="40"/>
              <w:szCs w:val="40"/>
            </w:rPr>
            <w:t>目</w:t>
          </w:r>
          <w:r>
            <w:rPr>
              <w:rFonts w:ascii="方正小标宋简体" w:eastAsia="方正小标宋简体"/>
              <w:b/>
              <w:bCs/>
              <w:color w:val="000000" w:themeColor="text1"/>
              <w:sz w:val="40"/>
              <w:szCs w:val="40"/>
            </w:rPr>
            <w:t xml:space="preserve">  </w:t>
          </w:r>
          <w:r>
            <w:rPr>
              <w:rFonts w:hint="eastAsia" w:ascii="方正小标宋简体" w:eastAsia="方正小标宋简体"/>
              <w:b/>
              <w:bCs/>
              <w:color w:val="000000" w:themeColor="text1"/>
              <w:sz w:val="40"/>
              <w:szCs w:val="40"/>
            </w:rPr>
            <w:t>录</w:t>
          </w:r>
        </w:p>
        <w:p>
          <w:pPr>
            <w:pStyle w:val="16"/>
            <w:spacing w:line="580" w:lineRule="exact"/>
            <w:rPr>
              <w:rFonts w:eastAsiaTheme="minorEastAsia"/>
              <w:b w:val="0"/>
              <w:bCs w:val="0"/>
              <w:kern w:val="2"/>
            </w:rPr>
          </w:pPr>
          <w:r>
            <w:rPr>
              <w:color w:val="000000" w:themeColor="text1"/>
            </w:rPr>
            <w:fldChar w:fldCharType="begin"/>
          </w:r>
          <w:r>
            <w:rPr>
              <w:color w:val="000000" w:themeColor="text1"/>
            </w:rPr>
            <w:instrText xml:space="preserve"> TOC \o "1-3" \h \z \u </w:instrText>
          </w:r>
          <w:r>
            <w:rPr>
              <w:color w:val="000000" w:themeColor="text1"/>
            </w:rPr>
            <w:fldChar w:fldCharType="separate"/>
          </w:r>
          <w:r>
            <w:fldChar w:fldCharType="begin"/>
          </w:r>
          <w:r>
            <w:instrText xml:space="preserve"> HYPERLINK \l "_Toc93409971" </w:instrText>
          </w:r>
          <w:r>
            <w:fldChar w:fldCharType="separate"/>
          </w:r>
          <w:r>
            <w:rPr>
              <w:rStyle w:val="25"/>
              <w:rFonts w:eastAsia="方正黑体_GBK"/>
            </w:rPr>
            <w:t>一、发展现状与面临形势</w:t>
          </w:r>
          <w:r>
            <w:tab/>
          </w:r>
          <w:r>
            <w:fldChar w:fldCharType="begin"/>
          </w:r>
          <w:r>
            <w:instrText xml:space="preserve"> PAGEREF _Toc93409971 \h </w:instrText>
          </w:r>
          <w:r>
            <w:fldChar w:fldCharType="separate"/>
          </w:r>
          <w:r>
            <w:t>1</w:t>
          </w:r>
          <w:r>
            <w:fldChar w:fldCharType="end"/>
          </w:r>
          <w:r>
            <w:fldChar w:fldCharType="end"/>
          </w:r>
        </w:p>
        <w:p>
          <w:pPr>
            <w:pStyle w:val="18"/>
            <w:spacing w:line="580" w:lineRule="exact"/>
            <w:rPr>
              <w:rFonts w:eastAsiaTheme="minorEastAsia"/>
              <w:b w:val="0"/>
              <w:bCs w:val="0"/>
              <w:kern w:val="2"/>
            </w:rPr>
          </w:pPr>
          <w:r>
            <w:fldChar w:fldCharType="begin"/>
          </w:r>
          <w:r>
            <w:instrText xml:space="preserve"> HYPERLINK \l "_Toc93409972" </w:instrText>
          </w:r>
          <w:r>
            <w:fldChar w:fldCharType="separate"/>
          </w:r>
          <w:r>
            <w:rPr>
              <w:rStyle w:val="25"/>
            </w:rPr>
            <w:t>（一）发展基础</w:t>
          </w:r>
          <w:r>
            <w:tab/>
          </w:r>
          <w:r>
            <w:fldChar w:fldCharType="begin"/>
          </w:r>
          <w:r>
            <w:instrText xml:space="preserve"> PAGEREF _Toc93409972 \h </w:instrText>
          </w:r>
          <w:r>
            <w:fldChar w:fldCharType="separate"/>
          </w:r>
          <w:r>
            <w:t>1</w:t>
          </w:r>
          <w:r>
            <w:fldChar w:fldCharType="end"/>
          </w:r>
          <w:r>
            <w:fldChar w:fldCharType="end"/>
          </w:r>
        </w:p>
        <w:p>
          <w:pPr>
            <w:pStyle w:val="18"/>
            <w:spacing w:line="580" w:lineRule="exact"/>
            <w:rPr>
              <w:rFonts w:eastAsiaTheme="minorEastAsia"/>
              <w:b w:val="0"/>
              <w:bCs w:val="0"/>
              <w:kern w:val="2"/>
            </w:rPr>
          </w:pPr>
          <w:r>
            <w:fldChar w:fldCharType="begin"/>
          </w:r>
          <w:r>
            <w:instrText xml:space="preserve"> HYPERLINK \l "_Toc93409973" </w:instrText>
          </w:r>
          <w:r>
            <w:fldChar w:fldCharType="separate"/>
          </w:r>
          <w:r>
            <w:rPr>
              <w:rStyle w:val="25"/>
            </w:rPr>
            <w:t>（二）发展趋势</w:t>
          </w:r>
          <w:r>
            <w:tab/>
          </w:r>
          <w:r>
            <w:fldChar w:fldCharType="begin"/>
          </w:r>
          <w:r>
            <w:instrText xml:space="preserve"> PAGEREF _Toc93409973 \h </w:instrText>
          </w:r>
          <w:r>
            <w:fldChar w:fldCharType="separate"/>
          </w:r>
          <w:r>
            <w:t>7</w:t>
          </w:r>
          <w:r>
            <w:fldChar w:fldCharType="end"/>
          </w:r>
          <w:r>
            <w:fldChar w:fldCharType="end"/>
          </w:r>
        </w:p>
        <w:p>
          <w:pPr>
            <w:pStyle w:val="16"/>
            <w:spacing w:line="580" w:lineRule="exact"/>
            <w:rPr>
              <w:rFonts w:eastAsiaTheme="minorEastAsia"/>
              <w:b w:val="0"/>
              <w:bCs w:val="0"/>
              <w:kern w:val="2"/>
            </w:rPr>
          </w:pPr>
          <w:r>
            <w:fldChar w:fldCharType="begin"/>
          </w:r>
          <w:r>
            <w:instrText xml:space="preserve"> HYPERLINK \l "_Toc93409974" </w:instrText>
          </w:r>
          <w:r>
            <w:fldChar w:fldCharType="separate"/>
          </w:r>
          <w:r>
            <w:rPr>
              <w:rStyle w:val="25"/>
              <w:rFonts w:eastAsia="方正黑体_GBK"/>
            </w:rPr>
            <w:t>二、总体思路</w:t>
          </w:r>
          <w:r>
            <w:tab/>
          </w:r>
          <w:r>
            <w:fldChar w:fldCharType="begin"/>
          </w:r>
          <w:r>
            <w:instrText xml:space="preserve"> PAGEREF _Toc93409974 \h </w:instrText>
          </w:r>
          <w:r>
            <w:fldChar w:fldCharType="separate"/>
          </w:r>
          <w:r>
            <w:t>9</w:t>
          </w:r>
          <w:r>
            <w:fldChar w:fldCharType="end"/>
          </w:r>
          <w:r>
            <w:fldChar w:fldCharType="end"/>
          </w:r>
        </w:p>
        <w:p>
          <w:pPr>
            <w:pStyle w:val="18"/>
            <w:spacing w:line="580" w:lineRule="exact"/>
            <w:rPr>
              <w:rFonts w:eastAsiaTheme="minorEastAsia"/>
              <w:b w:val="0"/>
              <w:bCs w:val="0"/>
              <w:kern w:val="2"/>
            </w:rPr>
          </w:pPr>
          <w:r>
            <w:fldChar w:fldCharType="begin"/>
          </w:r>
          <w:r>
            <w:instrText xml:space="preserve"> HYPERLINK \l "_Toc93409975" </w:instrText>
          </w:r>
          <w:r>
            <w:fldChar w:fldCharType="separate"/>
          </w:r>
          <w:r>
            <w:rPr>
              <w:rStyle w:val="25"/>
            </w:rPr>
            <w:t>（一）指导思想</w:t>
          </w:r>
          <w:r>
            <w:tab/>
          </w:r>
          <w:r>
            <w:fldChar w:fldCharType="begin"/>
          </w:r>
          <w:r>
            <w:instrText xml:space="preserve"> PAGEREF _Toc93409975 \h </w:instrText>
          </w:r>
          <w:r>
            <w:fldChar w:fldCharType="separate"/>
          </w:r>
          <w:r>
            <w:t>9</w:t>
          </w:r>
          <w:r>
            <w:fldChar w:fldCharType="end"/>
          </w:r>
          <w:r>
            <w:fldChar w:fldCharType="end"/>
          </w:r>
        </w:p>
        <w:p>
          <w:pPr>
            <w:pStyle w:val="18"/>
            <w:spacing w:line="580" w:lineRule="exact"/>
            <w:rPr>
              <w:rFonts w:eastAsiaTheme="minorEastAsia"/>
              <w:b w:val="0"/>
              <w:bCs w:val="0"/>
              <w:kern w:val="2"/>
            </w:rPr>
          </w:pPr>
          <w:r>
            <w:fldChar w:fldCharType="begin"/>
          </w:r>
          <w:r>
            <w:instrText xml:space="preserve"> HYPERLINK \l "_Toc93409976" </w:instrText>
          </w:r>
          <w:r>
            <w:fldChar w:fldCharType="separate"/>
          </w:r>
          <w:r>
            <w:rPr>
              <w:rStyle w:val="25"/>
            </w:rPr>
            <w:t>（二）基本原则</w:t>
          </w:r>
          <w:r>
            <w:tab/>
          </w:r>
          <w:r>
            <w:fldChar w:fldCharType="begin"/>
          </w:r>
          <w:r>
            <w:instrText xml:space="preserve"> PAGEREF _Toc93409976 \h </w:instrText>
          </w:r>
          <w:r>
            <w:fldChar w:fldCharType="separate"/>
          </w:r>
          <w:r>
            <w:t>10</w:t>
          </w:r>
          <w:r>
            <w:fldChar w:fldCharType="end"/>
          </w:r>
          <w:r>
            <w:fldChar w:fldCharType="end"/>
          </w:r>
        </w:p>
        <w:p>
          <w:pPr>
            <w:pStyle w:val="18"/>
            <w:spacing w:line="580" w:lineRule="exact"/>
            <w:rPr>
              <w:rFonts w:eastAsiaTheme="minorEastAsia"/>
              <w:b w:val="0"/>
              <w:bCs w:val="0"/>
              <w:kern w:val="2"/>
            </w:rPr>
          </w:pPr>
          <w:r>
            <w:fldChar w:fldCharType="begin"/>
          </w:r>
          <w:r>
            <w:instrText xml:space="preserve"> HYPERLINK \l "_Toc93409977" </w:instrText>
          </w:r>
          <w:r>
            <w:fldChar w:fldCharType="separate"/>
          </w:r>
          <w:r>
            <w:rPr>
              <w:rStyle w:val="25"/>
            </w:rPr>
            <w:t>（三）发展目标</w:t>
          </w:r>
          <w:r>
            <w:tab/>
          </w:r>
          <w:r>
            <w:fldChar w:fldCharType="begin"/>
          </w:r>
          <w:r>
            <w:instrText xml:space="preserve"> PAGEREF _Toc93409977 \h </w:instrText>
          </w:r>
          <w:r>
            <w:fldChar w:fldCharType="separate"/>
          </w:r>
          <w:r>
            <w:t>11</w:t>
          </w:r>
          <w:r>
            <w:fldChar w:fldCharType="end"/>
          </w:r>
          <w:r>
            <w:fldChar w:fldCharType="end"/>
          </w:r>
        </w:p>
        <w:p>
          <w:pPr>
            <w:pStyle w:val="16"/>
            <w:spacing w:line="580" w:lineRule="exact"/>
            <w:rPr>
              <w:rFonts w:eastAsiaTheme="minorEastAsia"/>
              <w:b w:val="0"/>
              <w:bCs w:val="0"/>
              <w:kern w:val="2"/>
            </w:rPr>
          </w:pPr>
          <w:r>
            <w:fldChar w:fldCharType="begin"/>
          </w:r>
          <w:r>
            <w:instrText xml:space="preserve"> HYPERLINK \l "_Toc93409978" </w:instrText>
          </w:r>
          <w:r>
            <w:fldChar w:fldCharType="separate"/>
          </w:r>
          <w:r>
            <w:rPr>
              <w:rStyle w:val="25"/>
              <w:rFonts w:eastAsia="方正黑体_GBK"/>
            </w:rPr>
            <w:t>三、发展布局</w:t>
          </w:r>
          <w:r>
            <w:tab/>
          </w:r>
          <w:r>
            <w:fldChar w:fldCharType="begin"/>
          </w:r>
          <w:r>
            <w:instrText xml:space="preserve"> PAGEREF _Toc93409978 \h </w:instrText>
          </w:r>
          <w:r>
            <w:fldChar w:fldCharType="separate"/>
          </w:r>
          <w:r>
            <w:t>15</w:t>
          </w:r>
          <w:r>
            <w:fldChar w:fldCharType="end"/>
          </w:r>
          <w:r>
            <w:fldChar w:fldCharType="end"/>
          </w:r>
        </w:p>
        <w:p>
          <w:pPr>
            <w:pStyle w:val="18"/>
            <w:spacing w:line="580" w:lineRule="exact"/>
            <w:rPr>
              <w:rFonts w:eastAsiaTheme="minorEastAsia"/>
              <w:b w:val="0"/>
              <w:bCs w:val="0"/>
              <w:kern w:val="2"/>
            </w:rPr>
          </w:pPr>
          <w:r>
            <w:fldChar w:fldCharType="begin"/>
          </w:r>
          <w:r>
            <w:instrText xml:space="preserve"> HYPERLINK \l "_Toc93409979" </w:instrText>
          </w:r>
          <w:r>
            <w:fldChar w:fldCharType="separate"/>
          </w:r>
          <w:r>
            <w:rPr>
              <w:rStyle w:val="25"/>
            </w:rPr>
            <w:t>（一）总体框架</w:t>
          </w:r>
          <w:r>
            <w:tab/>
          </w:r>
          <w:r>
            <w:fldChar w:fldCharType="begin"/>
          </w:r>
          <w:r>
            <w:instrText xml:space="preserve"> PAGEREF _Toc93409979 \h </w:instrText>
          </w:r>
          <w:r>
            <w:fldChar w:fldCharType="separate"/>
          </w:r>
          <w:r>
            <w:t>15</w:t>
          </w:r>
          <w:r>
            <w:fldChar w:fldCharType="end"/>
          </w:r>
          <w:r>
            <w:fldChar w:fldCharType="end"/>
          </w:r>
        </w:p>
        <w:p>
          <w:pPr>
            <w:pStyle w:val="18"/>
            <w:spacing w:line="580" w:lineRule="exact"/>
            <w:rPr>
              <w:rFonts w:eastAsiaTheme="minorEastAsia"/>
              <w:b w:val="0"/>
              <w:bCs w:val="0"/>
              <w:kern w:val="2"/>
            </w:rPr>
          </w:pPr>
          <w:r>
            <w:fldChar w:fldCharType="begin"/>
          </w:r>
          <w:r>
            <w:instrText xml:space="preserve"> HYPERLINK \l "_Toc93409980" </w:instrText>
          </w:r>
          <w:r>
            <w:fldChar w:fldCharType="separate"/>
          </w:r>
          <w:r>
            <w:rPr>
              <w:rStyle w:val="25"/>
            </w:rPr>
            <w:t>（二）实施路径</w:t>
          </w:r>
          <w:r>
            <w:tab/>
          </w:r>
          <w:r>
            <w:fldChar w:fldCharType="begin"/>
          </w:r>
          <w:r>
            <w:instrText xml:space="preserve"> PAGEREF _Toc93409980 \h </w:instrText>
          </w:r>
          <w:r>
            <w:fldChar w:fldCharType="separate"/>
          </w:r>
          <w:r>
            <w:t>16</w:t>
          </w:r>
          <w:r>
            <w:fldChar w:fldCharType="end"/>
          </w:r>
          <w:r>
            <w:fldChar w:fldCharType="end"/>
          </w:r>
        </w:p>
        <w:p>
          <w:pPr>
            <w:pStyle w:val="18"/>
            <w:spacing w:line="580" w:lineRule="exact"/>
            <w:rPr>
              <w:rFonts w:eastAsiaTheme="minorEastAsia"/>
              <w:b w:val="0"/>
              <w:bCs w:val="0"/>
              <w:kern w:val="2"/>
            </w:rPr>
          </w:pPr>
          <w:r>
            <w:fldChar w:fldCharType="begin"/>
          </w:r>
          <w:r>
            <w:instrText xml:space="preserve"> HYPERLINK \l "_Toc93409981" </w:instrText>
          </w:r>
          <w:r>
            <w:fldChar w:fldCharType="separate"/>
          </w:r>
          <w:r>
            <w:rPr>
              <w:rStyle w:val="25"/>
            </w:rPr>
            <w:t>（三）发展布局</w:t>
          </w:r>
          <w:r>
            <w:tab/>
          </w:r>
          <w:r>
            <w:fldChar w:fldCharType="begin"/>
          </w:r>
          <w:r>
            <w:instrText xml:space="preserve"> PAGEREF _Toc93409981 \h </w:instrText>
          </w:r>
          <w:r>
            <w:fldChar w:fldCharType="separate"/>
          </w:r>
          <w:r>
            <w:t>16</w:t>
          </w:r>
          <w:r>
            <w:fldChar w:fldCharType="end"/>
          </w:r>
          <w:r>
            <w:fldChar w:fldCharType="end"/>
          </w:r>
        </w:p>
        <w:p>
          <w:pPr>
            <w:pStyle w:val="10"/>
            <w:spacing w:line="580" w:lineRule="exact"/>
            <w:ind w:firstLine="185"/>
            <w:rPr>
              <w:rFonts w:ascii="Times New Roman" w:hAnsi="Times New Roman"/>
              <w:kern w:val="2"/>
              <w:sz w:val="32"/>
              <w:szCs w:val="32"/>
            </w:rPr>
          </w:pPr>
          <w:r>
            <w:fldChar w:fldCharType="begin"/>
          </w:r>
          <w:r>
            <w:instrText xml:space="preserve"> HYPERLINK \l "_Toc93409982" </w:instrText>
          </w:r>
          <w:r>
            <w:fldChar w:fldCharType="separate"/>
          </w:r>
          <w:r>
            <w:rPr>
              <w:rStyle w:val="25"/>
              <w:rFonts w:ascii="Times New Roman" w:hAnsi="Times New Roman" w:eastAsia="楷体_GB2312"/>
              <w:sz w:val="32"/>
              <w:szCs w:val="32"/>
            </w:rPr>
            <w:t>1.“一核”——数字玉林核心发展区</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_Toc93409982 \h </w:instrText>
          </w:r>
          <w:r>
            <w:rPr>
              <w:rFonts w:ascii="Times New Roman" w:hAnsi="Times New Roman"/>
              <w:sz w:val="32"/>
              <w:szCs w:val="32"/>
            </w:rPr>
            <w:fldChar w:fldCharType="separate"/>
          </w:r>
          <w:r>
            <w:rPr>
              <w:rFonts w:ascii="Times New Roman" w:hAnsi="Times New Roman"/>
              <w:sz w:val="32"/>
              <w:szCs w:val="32"/>
            </w:rPr>
            <w:t>17</w:t>
          </w:r>
          <w:r>
            <w:rPr>
              <w:rFonts w:ascii="Times New Roman" w:hAnsi="Times New Roman"/>
              <w:sz w:val="32"/>
              <w:szCs w:val="32"/>
            </w:rPr>
            <w:fldChar w:fldCharType="end"/>
          </w:r>
          <w:r>
            <w:rPr>
              <w:rFonts w:ascii="Times New Roman" w:hAnsi="Times New Roman"/>
              <w:sz w:val="32"/>
              <w:szCs w:val="32"/>
            </w:rPr>
            <w:fldChar w:fldCharType="end"/>
          </w:r>
        </w:p>
        <w:p>
          <w:pPr>
            <w:pStyle w:val="10"/>
            <w:spacing w:line="580" w:lineRule="exact"/>
            <w:ind w:firstLine="185"/>
            <w:rPr>
              <w:rFonts w:ascii="Times New Roman" w:hAnsi="Times New Roman"/>
              <w:kern w:val="2"/>
              <w:sz w:val="32"/>
              <w:szCs w:val="32"/>
            </w:rPr>
          </w:pPr>
          <w:r>
            <w:fldChar w:fldCharType="begin"/>
          </w:r>
          <w:r>
            <w:instrText xml:space="preserve"> HYPERLINK \l "_Toc93409983" </w:instrText>
          </w:r>
          <w:r>
            <w:fldChar w:fldCharType="separate"/>
          </w:r>
          <w:r>
            <w:rPr>
              <w:rStyle w:val="25"/>
              <w:rFonts w:ascii="Times New Roman" w:hAnsi="Times New Roman" w:eastAsia="楷体_GB2312"/>
              <w:sz w:val="32"/>
              <w:szCs w:val="32"/>
            </w:rPr>
            <w:t>2.“一区”——数字经济赋能实体经济示范区</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_Toc93409983 \h </w:instrText>
          </w:r>
          <w:r>
            <w:rPr>
              <w:rFonts w:ascii="Times New Roman" w:hAnsi="Times New Roman"/>
              <w:sz w:val="32"/>
              <w:szCs w:val="32"/>
            </w:rPr>
            <w:fldChar w:fldCharType="separate"/>
          </w:r>
          <w:r>
            <w:rPr>
              <w:rFonts w:ascii="Times New Roman" w:hAnsi="Times New Roman"/>
              <w:sz w:val="32"/>
              <w:szCs w:val="32"/>
            </w:rPr>
            <w:t>18</w:t>
          </w:r>
          <w:r>
            <w:rPr>
              <w:rFonts w:ascii="Times New Roman" w:hAnsi="Times New Roman"/>
              <w:sz w:val="32"/>
              <w:szCs w:val="32"/>
            </w:rPr>
            <w:fldChar w:fldCharType="end"/>
          </w:r>
          <w:r>
            <w:rPr>
              <w:rFonts w:ascii="Times New Roman" w:hAnsi="Times New Roman"/>
              <w:sz w:val="32"/>
              <w:szCs w:val="32"/>
            </w:rPr>
            <w:fldChar w:fldCharType="end"/>
          </w:r>
        </w:p>
        <w:p>
          <w:pPr>
            <w:pStyle w:val="10"/>
            <w:spacing w:line="580" w:lineRule="exact"/>
            <w:ind w:firstLine="185"/>
            <w:rPr>
              <w:rFonts w:ascii="Times New Roman" w:hAnsi="Times New Roman"/>
              <w:kern w:val="2"/>
              <w:sz w:val="32"/>
              <w:szCs w:val="32"/>
            </w:rPr>
          </w:pPr>
          <w:r>
            <w:fldChar w:fldCharType="begin"/>
          </w:r>
          <w:r>
            <w:instrText xml:space="preserve"> HYPERLINK \l "_Toc93409984" </w:instrText>
          </w:r>
          <w:r>
            <w:fldChar w:fldCharType="separate"/>
          </w:r>
          <w:r>
            <w:rPr>
              <w:rStyle w:val="25"/>
              <w:rFonts w:ascii="Times New Roman" w:hAnsi="Times New Roman" w:eastAsia="楷体_GB2312"/>
              <w:sz w:val="32"/>
              <w:szCs w:val="32"/>
            </w:rPr>
            <w:t>3.“两带”——数字经济产业融合发展带</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_Toc93409984 \h </w:instrText>
          </w:r>
          <w:r>
            <w:rPr>
              <w:rFonts w:ascii="Times New Roman" w:hAnsi="Times New Roman"/>
              <w:sz w:val="32"/>
              <w:szCs w:val="32"/>
            </w:rPr>
            <w:fldChar w:fldCharType="separate"/>
          </w:r>
          <w:r>
            <w:rPr>
              <w:rFonts w:ascii="Times New Roman" w:hAnsi="Times New Roman"/>
              <w:sz w:val="32"/>
              <w:szCs w:val="32"/>
            </w:rPr>
            <w:t>18</w:t>
          </w:r>
          <w:r>
            <w:rPr>
              <w:rFonts w:ascii="Times New Roman" w:hAnsi="Times New Roman"/>
              <w:sz w:val="32"/>
              <w:szCs w:val="32"/>
            </w:rPr>
            <w:fldChar w:fldCharType="end"/>
          </w:r>
          <w:r>
            <w:rPr>
              <w:rFonts w:ascii="Times New Roman" w:hAnsi="Times New Roman"/>
              <w:sz w:val="32"/>
              <w:szCs w:val="32"/>
            </w:rPr>
            <w:fldChar w:fldCharType="end"/>
          </w:r>
        </w:p>
        <w:p>
          <w:pPr>
            <w:pStyle w:val="10"/>
            <w:spacing w:line="580" w:lineRule="exact"/>
            <w:ind w:firstLine="185"/>
            <w:rPr>
              <w:rFonts w:ascii="Times New Roman" w:hAnsi="Times New Roman"/>
              <w:kern w:val="2"/>
              <w:sz w:val="32"/>
              <w:szCs w:val="32"/>
            </w:rPr>
          </w:pPr>
          <w:r>
            <w:fldChar w:fldCharType="begin"/>
          </w:r>
          <w:r>
            <w:instrText xml:space="preserve"> HYPERLINK \l "_Toc93409985" </w:instrText>
          </w:r>
          <w:r>
            <w:fldChar w:fldCharType="separate"/>
          </w:r>
          <w:r>
            <w:rPr>
              <w:rStyle w:val="25"/>
              <w:rFonts w:ascii="Times New Roman" w:hAnsi="Times New Roman" w:eastAsia="楷体_GB2312"/>
              <w:sz w:val="32"/>
              <w:szCs w:val="32"/>
            </w:rPr>
            <w:t>4.“多点”——数字玉林多点支撑新格局</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_Toc93409985 \h </w:instrText>
          </w:r>
          <w:r>
            <w:rPr>
              <w:rFonts w:ascii="Times New Roman" w:hAnsi="Times New Roman"/>
              <w:sz w:val="32"/>
              <w:szCs w:val="32"/>
            </w:rPr>
            <w:fldChar w:fldCharType="separate"/>
          </w:r>
          <w:r>
            <w:rPr>
              <w:rFonts w:ascii="Times New Roman" w:hAnsi="Times New Roman"/>
              <w:sz w:val="32"/>
              <w:szCs w:val="32"/>
            </w:rPr>
            <w:t>19</w:t>
          </w:r>
          <w:r>
            <w:rPr>
              <w:rFonts w:ascii="Times New Roman" w:hAnsi="Times New Roman"/>
              <w:sz w:val="32"/>
              <w:szCs w:val="32"/>
            </w:rPr>
            <w:fldChar w:fldCharType="end"/>
          </w:r>
          <w:r>
            <w:rPr>
              <w:rFonts w:ascii="Times New Roman" w:hAnsi="Times New Roman"/>
              <w:sz w:val="32"/>
              <w:szCs w:val="32"/>
            </w:rPr>
            <w:fldChar w:fldCharType="end"/>
          </w:r>
        </w:p>
        <w:p>
          <w:pPr>
            <w:pStyle w:val="16"/>
            <w:spacing w:line="580" w:lineRule="exact"/>
            <w:rPr>
              <w:rFonts w:eastAsiaTheme="minorEastAsia"/>
              <w:b w:val="0"/>
              <w:bCs w:val="0"/>
              <w:kern w:val="2"/>
            </w:rPr>
          </w:pPr>
          <w:r>
            <w:fldChar w:fldCharType="begin"/>
          </w:r>
          <w:r>
            <w:instrText xml:space="preserve"> HYPERLINK \l "_Toc93409986" </w:instrText>
          </w:r>
          <w:r>
            <w:fldChar w:fldCharType="separate"/>
          </w:r>
          <w:r>
            <w:rPr>
              <w:rStyle w:val="25"/>
              <w:rFonts w:eastAsia="方正黑体_GBK"/>
            </w:rPr>
            <w:t>四、重点任务</w:t>
          </w:r>
          <w:r>
            <w:tab/>
          </w:r>
          <w:r>
            <w:fldChar w:fldCharType="begin"/>
          </w:r>
          <w:r>
            <w:instrText xml:space="preserve"> PAGEREF _Toc93409986 \h </w:instrText>
          </w:r>
          <w:r>
            <w:fldChar w:fldCharType="separate"/>
          </w:r>
          <w:r>
            <w:t>21</w:t>
          </w:r>
          <w:r>
            <w:fldChar w:fldCharType="end"/>
          </w:r>
          <w:r>
            <w:fldChar w:fldCharType="end"/>
          </w:r>
        </w:p>
        <w:p>
          <w:pPr>
            <w:pStyle w:val="18"/>
            <w:spacing w:line="580" w:lineRule="exact"/>
            <w:rPr>
              <w:rFonts w:eastAsiaTheme="minorEastAsia"/>
              <w:b w:val="0"/>
              <w:bCs w:val="0"/>
              <w:kern w:val="2"/>
            </w:rPr>
          </w:pPr>
          <w:r>
            <w:fldChar w:fldCharType="begin"/>
          </w:r>
          <w:r>
            <w:instrText xml:space="preserve"> HYPERLINK \l "_Toc93409987" </w:instrText>
          </w:r>
          <w:r>
            <w:fldChar w:fldCharType="separate"/>
          </w:r>
          <w:r>
            <w:rPr>
              <w:rStyle w:val="25"/>
            </w:rPr>
            <w:t>（一）奋力强基础添动力，夯实数字基础支撑</w:t>
          </w:r>
          <w:r>
            <w:tab/>
          </w:r>
          <w:r>
            <w:fldChar w:fldCharType="begin"/>
          </w:r>
          <w:r>
            <w:instrText xml:space="preserve"> PAGEREF _Toc93409987 \h </w:instrText>
          </w:r>
          <w:r>
            <w:fldChar w:fldCharType="separate"/>
          </w:r>
          <w:r>
            <w:t>21</w:t>
          </w:r>
          <w:r>
            <w:fldChar w:fldCharType="end"/>
          </w:r>
          <w:r>
            <w:fldChar w:fldCharType="end"/>
          </w:r>
        </w:p>
        <w:p>
          <w:pPr>
            <w:pStyle w:val="10"/>
            <w:spacing w:line="580" w:lineRule="exact"/>
            <w:ind w:firstLine="185"/>
            <w:rPr>
              <w:rFonts w:ascii="Times New Roman" w:hAnsi="Times New Roman"/>
              <w:kern w:val="2"/>
              <w:sz w:val="32"/>
              <w:szCs w:val="32"/>
            </w:rPr>
          </w:pPr>
          <w:r>
            <w:fldChar w:fldCharType="begin"/>
          </w:r>
          <w:r>
            <w:instrText xml:space="preserve"> HYPERLINK \l "_Toc93409988" </w:instrText>
          </w:r>
          <w:r>
            <w:fldChar w:fldCharType="separate"/>
          </w:r>
          <w:r>
            <w:rPr>
              <w:rStyle w:val="25"/>
              <w:rFonts w:ascii="Times New Roman" w:hAnsi="Times New Roman" w:eastAsia="楷体_GB2312"/>
              <w:sz w:val="32"/>
              <w:szCs w:val="32"/>
            </w:rPr>
            <w:t>1.加快数字基础设施建设</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_Toc93409988 \h </w:instrText>
          </w:r>
          <w:r>
            <w:rPr>
              <w:rFonts w:ascii="Times New Roman" w:hAnsi="Times New Roman"/>
              <w:sz w:val="32"/>
              <w:szCs w:val="32"/>
            </w:rPr>
            <w:fldChar w:fldCharType="separate"/>
          </w:r>
          <w:r>
            <w:rPr>
              <w:rFonts w:ascii="Times New Roman" w:hAnsi="Times New Roman"/>
              <w:sz w:val="32"/>
              <w:szCs w:val="32"/>
            </w:rPr>
            <w:t>22</w:t>
          </w:r>
          <w:r>
            <w:rPr>
              <w:rFonts w:ascii="Times New Roman" w:hAnsi="Times New Roman"/>
              <w:sz w:val="32"/>
              <w:szCs w:val="32"/>
            </w:rPr>
            <w:fldChar w:fldCharType="end"/>
          </w:r>
          <w:r>
            <w:rPr>
              <w:rFonts w:ascii="Times New Roman" w:hAnsi="Times New Roman"/>
              <w:sz w:val="32"/>
              <w:szCs w:val="32"/>
            </w:rPr>
            <w:fldChar w:fldCharType="end"/>
          </w:r>
        </w:p>
        <w:p>
          <w:pPr>
            <w:pStyle w:val="10"/>
            <w:spacing w:line="580" w:lineRule="exact"/>
            <w:ind w:firstLine="185"/>
            <w:rPr>
              <w:rFonts w:ascii="Times New Roman" w:hAnsi="Times New Roman"/>
              <w:kern w:val="2"/>
              <w:sz w:val="32"/>
              <w:szCs w:val="32"/>
            </w:rPr>
          </w:pPr>
          <w:r>
            <w:fldChar w:fldCharType="begin"/>
          </w:r>
          <w:r>
            <w:instrText xml:space="preserve"> HYPERLINK \l "_Toc93409989" </w:instrText>
          </w:r>
          <w:r>
            <w:fldChar w:fldCharType="separate"/>
          </w:r>
          <w:r>
            <w:rPr>
              <w:rStyle w:val="25"/>
              <w:rFonts w:ascii="Times New Roman" w:hAnsi="Times New Roman" w:eastAsia="楷体_GB2312"/>
              <w:sz w:val="32"/>
              <w:szCs w:val="32"/>
            </w:rPr>
            <w:t>2.完善数据资源体系</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_Toc93409989 \h </w:instrText>
          </w:r>
          <w:r>
            <w:rPr>
              <w:rFonts w:ascii="Times New Roman" w:hAnsi="Times New Roman"/>
              <w:sz w:val="32"/>
              <w:szCs w:val="32"/>
            </w:rPr>
            <w:fldChar w:fldCharType="separate"/>
          </w:r>
          <w:r>
            <w:rPr>
              <w:rFonts w:ascii="Times New Roman" w:hAnsi="Times New Roman"/>
              <w:sz w:val="32"/>
              <w:szCs w:val="32"/>
            </w:rPr>
            <w:t>24</w:t>
          </w:r>
          <w:r>
            <w:rPr>
              <w:rFonts w:ascii="Times New Roman" w:hAnsi="Times New Roman"/>
              <w:sz w:val="32"/>
              <w:szCs w:val="32"/>
            </w:rPr>
            <w:fldChar w:fldCharType="end"/>
          </w:r>
          <w:r>
            <w:rPr>
              <w:rFonts w:ascii="Times New Roman" w:hAnsi="Times New Roman"/>
              <w:sz w:val="32"/>
              <w:szCs w:val="32"/>
            </w:rPr>
            <w:fldChar w:fldCharType="end"/>
          </w:r>
        </w:p>
        <w:p>
          <w:pPr>
            <w:pStyle w:val="18"/>
            <w:spacing w:line="580" w:lineRule="exact"/>
            <w:rPr>
              <w:rFonts w:eastAsiaTheme="minorEastAsia"/>
              <w:b w:val="0"/>
              <w:bCs w:val="0"/>
              <w:kern w:val="2"/>
            </w:rPr>
          </w:pPr>
          <w:r>
            <w:fldChar w:fldCharType="begin"/>
          </w:r>
          <w:r>
            <w:instrText xml:space="preserve"> HYPERLINK \l "_Toc93409990" </w:instrText>
          </w:r>
          <w:r>
            <w:fldChar w:fldCharType="separate"/>
          </w:r>
          <w:r>
            <w:rPr>
              <w:rStyle w:val="25"/>
              <w:rFonts w:eastAsia="方正楷体_GBK"/>
            </w:rPr>
            <w:t>（二）奋力慧中枢增应用，打造智慧城市中枢</w:t>
          </w:r>
          <w:r>
            <w:tab/>
          </w:r>
          <w:r>
            <w:fldChar w:fldCharType="begin"/>
          </w:r>
          <w:r>
            <w:instrText xml:space="preserve"> PAGEREF _Toc93409990 \h </w:instrText>
          </w:r>
          <w:r>
            <w:fldChar w:fldCharType="separate"/>
          </w:r>
          <w:r>
            <w:t>26</w:t>
          </w:r>
          <w:r>
            <w:fldChar w:fldCharType="end"/>
          </w:r>
          <w:r>
            <w:fldChar w:fldCharType="end"/>
          </w:r>
        </w:p>
        <w:p>
          <w:pPr>
            <w:pStyle w:val="10"/>
            <w:spacing w:line="580" w:lineRule="exact"/>
            <w:ind w:firstLine="185"/>
            <w:rPr>
              <w:rFonts w:ascii="Times New Roman" w:hAnsi="Times New Roman"/>
              <w:kern w:val="2"/>
              <w:sz w:val="32"/>
              <w:szCs w:val="32"/>
            </w:rPr>
          </w:pPr>
          <w:r>
            <w:fldChar w:fldCharType="begin"/>
          </w:r>
          <w:r>
            <w:instrText xml:space="preserve"> HYPERLINK \l "_Toc93409991" </w:instrText>
          </w:r>
          <w:r>
            <w:fldChar w:fldCharType="separate"/>
          </w:r>
          <w:r>
            <w:rPr>
              <w:rStyle w:val="25"/>
              <w:rFonts w:ascii="Times New Roman" w:hAnsi="Times New Roman" w:eastAsia="楷体_GB2312"/>
              <w:sz w:val="32"/>
              <w:szCs w:val="32"/>
            </w:rPr>
            <w:t>1.完善城市大脑基础设施</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_Toc93409991 \h </w:instrText>
          </w:r>
          <w:r>
            <w:rPr>
              <w:rFonts w:ascii="Times New Roman" w:hAnsi="Times New Roman"/>
              <w:sz w:val="32"/>
              <w:szCs w:val="32"/>
            </w:rPr>
            <w:fldChar w:fldCharType="separate"/>
          </w:r>
          <w:r>
            <w:rPr>
              <w:rFonts w:ascii="Times New Roman" w:hAnsi="Times New Roman"/>
              <w:sz w:val="32"/>
              <w:szCs w:val="32"/>
            </w:rPr>
            <w:t>26</w:t>
          </w:r>
          <w:r>
            <w:rPr>
              <w:rFonts w:ascii="Times New Roman" w:hAnsi="Times New Roman"/>
              <w:sz w:val="32"/>
              <w:szCs w:val="32"/>
            </w:rPr>
            <w:fldChar w:fldCharType="end"/>
          </w:r>
          <w:r>
            <w:rPr>
              <w:rFonts w:ascii="Times New Roman" w:hAnsi="Times New Roman"/>
              <w:sz w:val="32"/>
              <w:szCs w:val="32"/>
            </w:rPr>
            <w:fldChar w:fldCharType="end"/>
          </w:r>
        </w:p>
        <w:p>
          <w:pPr>
            <w:pStyle w:val="10"/>
            <w:spacing w:line="580" w:lineRule="exact"/>
            <w:ind w:firstLine="185"/>
            <w:rPr>
              <w:rFonts w:ascii="Times New Roman" w:hAnsi="Times New Roman"/>
              <w:kern w:val="2"/>
              <w:sz w:val="32"/>
              <w:szCs w:val="32"/>
            </w:rPr>
          </w:pPr>
          <w:r>
            <w:fldChar w:fldCharType="begin"/>
          </w:r>
          <w:r>
            <w:instrText xml:space="preserve"> HYPERLINK \l "_Toc93409992" </w:instrText>
          </w:r>
          <w:r>
            <w:fldChar w:fldCharType="separate"/>
          </w:r>
          <w:r>
            <w:rPr>
              <w:rStyle w:val="25"/>
              <w:rFonts w:ascii="Times New Roman" w:hAnsi="Times New Roman" w:eastAsia="楷体_GB2312"/>
              <w:sz w:val="32"/>
              <w:szCs w:val="32"/>
            </w:rPr>
            <w:t>2.健全城市大脑管理体系</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_Toc93409992 \h </w:instrText>
          </w:r>
          <w:r>
            <w:rPr>
              <w:rFonts w:ascii="Times New Roman" w:hAnsi="Times New Roman"/>
              <w:sz w:val="32"/>
              <w:szCs w:val="32"/>
            </w:rPr>
            <w:fldChar w:fldCharType="separate"/>
          </w:r>
          <w:r>
            <w:rPr>
              <w:rFonts w:ascii="Times New Roman" w:hAnsi="Times New Roman"/>
              <w:sz w:val="32"/>
              <w:szCs w:val="32"/>
            </w:rPr>
            <w:t>27</w:t>
          </w:r>
          <w:r>
            <w:rPr>
              <w:rFonts w:ascii="Times New Roman" w:hAnsi="Times New Roman"/>
              <w:sz w:val="32"/>
              <w:szCs w:val="32"/>
            </w:rPr>
            <w:fldChar w:fldCharType="end"/>
          </w:r>
          <w:r>
            <w:rPr>
              <w:rFonts w:ascii="Times New Roman" w:hAnsi="Times New Roman"/>
              <w:sz w:val="32"/>
              <w:szCs w:val="32"/>
            </w:rPr>
            <w:fldChar w:fldCharType="end"/>
          </w:r>
        </w:p>
        <w:p>
          <w:pPr>
            <w:pStyle w:val="10"/>
            <w:spacing w:line="580" w:lineRule="exact"/>
            <w:ind w:firstLine="185"/>
            <w:rPr>
              <w:rFonts w:ascii="Times New Roman" w:hAnsi="Times New Roman"/>
              <w:kern w:val="2"/>
              <w:sz w:val="32"/>
              <w:szCs w:val="32"/>
            </w:rPr>
          </w:pPr>
          <w:r>
            <w:fldChar w:fldCharType="begin"/>
          </w:r>
          <w:r>
            <w:instrText xml:space="preserve"> HYPERLINK \l "_Toc93409993" </w:instrText>
          </w:r>
          <w:r>
            <w:fldChar w:fldCharType="separate"/>
          </w:r>
          <w:r>
            <w:rPr>
              <w:rStyle w:val="25"/>
              <w:rFonts w:ascii="Times New Roman" w:hAnsi="Times New Roman" w:eastAsia="楷体_GB2312"/>
              <w:sz w:val="32"/>
              <w:szCs w:val="32"/>
            </w:rPr>
            <w:t>3.丰富城市大脑应用场景</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_Toc93409993 \h </w:instrText>
          </w:r>
          <w:r>
            <w:rPr>
              <w:rFonts w:ascii="Times New Roman" w:hAnsi="Times New Roman"/>
              <w:sz w:val="32"/>
              <w:szCs w:val="32"/>
            </w:rPr>
            <w:fldChar w:fldCharType="separate"/>
          </w:r>
          <w:r>
            <w:rPr>
              <w:rFonts w:ascii="Times New Roman" w:hAnsi="Times New Roman"/>
              <w:sz w:val="32"/>
              <w:szCs w:val="32"/>
            </w:rPr>
            <w:t>27</w:t>
          </w:r>
          <w:r>
            <w:rPr>
              <w:rFonts w:ascii="Times New Roman" w:hAnsi="Times New Roman"/>
              <w:sz w:val="32"/>
              <w:szCs w:val="32"/>
            </w:rPr>
            <w:fldChar w:fldCharType="end"/>
          </w:r>
          <w:r>
            <w:rPr>
              <w:rFonts w:ascii="Times New Roman" w:hAnsi="Times New Roman"/>
              <w:sz w:val="32"/>
              <w:szCs w:val="32"/>
            </w:rPr>
            <w:fldChar w:fldCharType="end"/>
          </w:r>
        </w:p>
        <w:p>
          <w:pPr>
            <w:pStyle w:val="18"/>
            <w:spacing w:line="580" w:lineRule="exact"/>
            <w:rPr>
              <w:rFonts w:eastAsiaTheme="minorEastAsia"/>
              <w:b w:val="0"/>
              <w:bCs w:val="0"/>
              <w:kern w:val="2"/>
            </w:rPr>
          </w:pPr>
          <w:r>
            <w:fldChar w:fldCharType="begin"/>
          </w:r>
          <w:r>
            <w:instrText xml:space="preserve"> HYPERLINK \l "_Toc93409994" </w:instrText>
          </w:r>
          <w:r>
            <w:fldChar w:fldCharType="separate"/>
          </w:r>
          <w:r>
            <w:rPr>
              <w:rStyle w:val="25"/>
            </w:rPr>
            <w:t>（三）奋力强产业提效益，加快发展数字经济</w:t>
          </w:r>
          <w:r>
            <w:tab/>
          </w:r>
          <w:r>
            <w:fldChar w:fldCharType="begin"/>
          </w:r>
          <w:r>
            <w:instrText xml:space="preserve"> PAGEREF _Toc93409994 \h </w:instrText>
          </w:r>
          <w:r>
            <w:fldChar w:fldCharType="separate"/>
          </w:r>
          <w:r>
            <w:t>29</w:t>
          </w:r>
          <w:r>
            <w:fldChar w:fldCharType="end"/>
          </w:r>
          <w:r>
            <w:fldChar w:fldCharType="end"/>
          </w:r>
        </w:p>
        <w:p>
          <w:pPr>
            <w:pStyle w:val="10"/>
            <w:spacing w:line="580" w:lineRule="exact"/>
            <w:ind w:firstLine="185"/>
            <w:rPr>
              <w:rFonts w:ascii="Times New Roman" w:hAnsi="Times New Roman"/>
              <w:kern w:val="2"/>
              <w:sz w:val="32"/>
              <w:szCs w:val="32"/>
            </w:rPr>
          </w:pPr>
          <w:r>
            <w:fldChar w:fldCharType="begin"/>
          </w:r>
          <w:r>
            <w:instrText xml:space="preserve"> HYPERLINK \l "_Toc93409995" </w:instrText>
          </w:r>
          <w:r>
            <w:fldChar w:fldCharType="separate"/>
          </w:r>
          <w:r>
            <w:rPr>
              <w:rStyle w:val="25"/>
              <w:rFonts w:ascii="Times New Roman" w:hAnsi="Times New Roman" w:eastAsia="楷体_GB2312"/>
              <w:sz w:val="32"/>
              <w:szCs w:val="32"/>
            </w:rPr>
            <w:t>1.提升经济智治水平</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_Toc93409995 \h </w:instrText>
          </w:r>
          <w:r>
            <w:rPr>
              <w:rFonts w:ascii="Times New Roman" w:hAnsi="Times New Roman"/>
              <w:sz w:val="32"/>
              <w:szCs w:val="32"/>
            </w:rPr>
            <w:fldChar w:fldCharType="separate"/>
          </w:r>
          <w:r>
            <w:rPr>
              <w:rFonts w:ascii="Times New Roman" w:hAnsi="Times New Roman"/>
              <w:sz w:val="32"/>
              <w:szCs w:val="32"/>
            </w:rPr>
            <w:t>29</w:t>
          </w:r>
          <w:r>
            <w:rPr>
              <w:rFonts w:ascii="Times New Roman" w:hAnsi="Times New Roman"/>
              <w:sz w:val="32"/>
              <w:szCs w:val="32"/>
            </w:rPr>
            <w:fldChar w:fldCharType="end"/>
          </w:r>
          <w:r>
            <w:rPr>
              <w:rFonts w:ascii="Times New Roman" w:hAnsi="Times New Roman"/>
              <w:sz w:val="32"/>
              <w:szCs w:val="32"/>
            </w:rPr>
            <w:fldChar w:fldCharType="end"/>
          </w:r>
        </w:p>
        <w:p>
          <w:pPr>
            <w:pStyle w:val="10"/>
            <w:spacing w:line="580" w:lineRule="exact"/>
            <w:ind w:firstLine="185"/>
            <w:rPr>
              <w:rFonts w:ascii="Times New Roman" w:hAnsi="Times New Roman"/>
              <w:kern w:val="2"/>
              <w:sz w:val="32"/>
              <w:szCs w:val="32"/>
            </w:rPr>
          </w:pPr>
          <w:r>
            <w:fldChar w:fldCharType="begin"/>
          </w:r>
          <w:r>
            <w:instrText xml:space="preserve"> HYPERLINK \l "_Toc93409996" </w:instrText>
          </w:r>
          <w:r>
            <w:fldChar w:fldCharType="separate"/>
          </w:r>
          <w:r>
            <w:rPr>
              <w:rStyle w:val="25"/>
              <w:rFonts w:ascii="Times New Roman" w:hAnsi="Times New Roman" w:eastAsia="楷体_GB2312"/>
              <w:sz w:val="32"/>
              <w:szCs w:val="32"/>
            </w:rPr>
            <w:t>2.壮大数字经济核心产业</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_Toc93409996 \h </w:instrText>
          </w:r>
          <w:r>
            <w:rPr>
              <w:rFonts w:ascii="Times New Roman" w:hAnsi="Times New Roman"/>
              <w:sz w:val="32"/>
              <w:szCs w:val="32"/>
            </w:rPr>
            <w:fldChar w:fldCharType="separate"/>
          </w:r>
          <w:r>
            <w:rPr>
              <w:rFonts w:ascii="Times New Roman" w:hAnsi="Times New Roman"/>
              <w:sz w:val="32"/>
              <w:szCs w:val="32"/>
            </w:rPr>
            <w:t>29</w:t>
          </w:r>
          <w:r>
            <w:rPr>
              <w:rFonts w:ascii="Times New Roman" w:hAnsi="Times New Roman"/>
              <w:sz w:val="32"/>
              <w:szCs w:val="32"/>
            </w:rPr>
            <w:fldChar w:fldCharType="end"/>
          </w:r>
          <w:r>
            <w:rPr>
              <w:rFonts w:ascii="Times New Roman" w:hAnsi="Times New Roman"/>
              <w:sz w:val="32"/>
              <w:szCs w:val="32"/>
            </w:rPr>
            <w:fldChar w:fldCharType="end"/>
          </w:r>
        </w:p>
        <w:p>
          <w:pPr>
            <w:pStyle w:val="10"/>
            <w:spacing w:line="580" w:lineRule="exact"/>
            <w:ind w:firstLine="185"/>
            <w:rPr>
              <w:rFonts w:ascii="Times New Roman" w:hAnsi="Times New Roman"/>
              <w:kern w:val="2"/>
              <w:sz w:val="32"/>
              <w:szCs w:val="32"/>
            </w:rPr>
          </w:pPr>
          <w:r>
            <w:fldChar w:fldCharType="begin"/>
          </w:r>
          <w:r>
            <w:instrText xml:space="preserve"> HYPERLINK \l "_Toc93409997" </w:instrText>
          </w:r>
          <w:r>
            <w:fldChar w:fldCharType="separate"/>
          </w:r>
          <w:r>
            <w:rPr>
              <w:rStyle w:val="25"/>
              <w:rFonts w:ascii="Times New Roman" w:hAnsi="Times New Roman" w:eastAsia="楷体_GB2312"/>
              <w:sz w:val="32"/>
              <w:szCs w:val="32"/>
            </w:rPr>
            <w:t>3.推进制造业数字化转型</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_Toc93409997 \h </w:instrText>
          </w:r>
          <w:r>
            <w:rPr>
              <w:rFonts w:ascii="Times New Roman" w:hAnsi="Times New Roman"/>
              <w:sz w:val="32"/>
              <w:szCs w:val="32"/>
            </w:rPr>
            <w:fldChar w:fldCharType="separate"/>
          </w:r>
          <w:r>
            <w:rPr>
              <w:rFonts w:ascii="Times New Roman" w:hAnsi="Times New Roman"/>
              <w:sz w:val="32"/>
              <w:szCs w:val="32"/>
            </w:rPr>
            <w:t>36</w:t>
          </w:r>
          <w:r>
            <w:rPr>
              <w:rFonts w:ascii="Times New Roman" w:hAnsi="Times New Roman"/>
              <w:sz w:val="32"/>
              <w:szCs w:val="32"/>
            </w:rPr>
            <w:fldChar w:fldCharType="end"/>
          </w:r>
          <w:r>
            <w:rPr>
              <w:rFonts w:ascii="Times New Roman" w:hAnsi="Times New Roman"/>
              <w:sz w:val="32"/>
              <w:szCs w:val="32"/>
            </w:rPr>
            <w:fldChar w:fldCharType="end"/>
          </w:r>
        </w:p>
        <w:p>
          <w:pPr>
            <w:pStyle w:val="10"/>
            <w:spacing w:line="580" w:lineRule="exact"/>
            <w:ind w:firstLine="185"/>
            <w:rPr>
              <w:rFonts w:ascii="Times New Roman" w:hAnsi="Times New Roman"/>
              <w:kern w:val="2"/>
              <w:sz w:val="32"/>
              <w:szCs w:val="32"/>
            </w:rPr>
          </w:pPr>
          <w:r>
            <w:fldChar w:fldCharType="begin"/>
          </w:r>
          <w:r>
            <w:instrText xml:space="preserve"> HYPERLINK \l "_Toc93409998" </w:instrText>
          </w:r>
          <w:r>
            <w:fldChar w:fldCharType="separate"/>
          </w:r>
          <w:r>
            <w:rPr>
              <w:rStyle w:val="25"/>
              <w:rFonts w:ascii="Times New Roman" w:hAnsi="Times New Roman" w:eastAsia="楷体_GB2312"/>
              <w:sz w:val="32"/>
              <w:szCs w:val="32"/>
            </w:rPr>
            <w:t>4.推动轻工业数字化发展</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_Toc93409998 \h </w:instrText>
          </w:r>
          <w:r>
            <w:rPr>
              <w:rFonts w:ascii="Times New Roman" w:hAnsi="Times New Roman"/>
              <w:sz w:val="32"/>
              <w:szCs w:val="32"/>
            </w:rPr>
            <w:fldChar w:fldCharType="separate"/>
          </w:r>
          <w:r>
            <w:rPr>
              <w:rFonts w:ascii="Times New Roman" w:hAnsi="Times New Roman"/>
              <w:sz w:val="32"/>
              <w:szCs w:val="32"/>
            </w:rPr>
            <w:t>40</w:t>
          </w:r>
          <w:r>
            <w:rPr>
              <w:rFonts w:ascii="Times New Roman" w:hAnsi="Times New Roman"/>
              <w:sz w:val="32"/>
              <w:szCs w:val="32"/>
            </w:rPr>
            <w:fldChar w:fldCharType="end"/>
          </w:r>
          <w:r>
            <w:rPr>
              <w:rFonts w:ascii="Times New Roman" w:hAnsi="Times New Roman"/>
              <w:sz w:val="32"/>
              <w:szCs w:val="32"/>
            </w:rPr>
            <w:fldChar w:fldCharType="end"/>
          </w:r>
        </w:p>
        <w:p>
          <w:pPr>
            <w:pStyle w:val="10"/>
            <w:spacing w:line="580" w:lineRule="exact"/>
            <w:ind w:firstLine="185"/>
            <w:rPr>
              <w:rFonts w:ascii="Times New Roman" w:hAnsi="Times New Roman"/>
              <w:kern w:val="2"/>
              <w:sz w:val="32"/>
              <w:szCs w:val="32"/>
            </w:rPr>
          </w:pPr>
          <w:r>
            <w:fldChar w:fldCharType="begin"/>
          </w:r>
          <w:r>
            <w:instrText xml:space="preserve"> HYPERLINK \l "_Toc93409999" </w:instrText>
          </w:r>
          <w:r>
            <w:fldChar w:fldCharType="separate"/>
          </w:r>
          <w:r>
            <w:rPr>
              <w:rStyle w:val="25"/>
              <w:rFonts w:ascii="Times New Roman" w:hAnsi="Times New Roman" w:eastAsia="楷体_GB2312"/>
              <w:sz w:val="32"/>
              <w:szCs w:val="32"/>
            </w:rPr>
            <w:t>5.加快特色农业数字化发展</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_Toc93409999 \h </w:instrText>
          </w:r>
          <w:r>
            <w:rPr>
              <w:rFonts w:ascii="Times New Roman" w:hAnsi="Times New Roman"/>
              <w:sz w:val="32"/>
              <w:szCs w:val="32"/>
            </w:rPr>
            <w:fldChar w:fldCharType="separate"/>
          </w:r>
          <w:r>
            <w:rPr>
              <w:rFonts w:ascii="Times New Roman" w:hAnsi="Times New Roman"/>
              <w:sz w:val="32"/>
              <w:szCs w:val="32"/>
            </w:rPr>
            <w:t>42</w:t>
          </w:r>
          <w:r>
            <w:rPr>
              <w:rFonts w:ascii="Times New Roman" w:hAnsi="Times New Roman"/>
              <w:sz w:val="32"/>
              <w:szCs w:val="32"/>
            </w:rPr>
            <w:fldChar w:fldCharType="end"/>
          </w:r>
          <w:r>
            <w:rPr>
              <w:rFonts w:ascii="Times New Roman" w:hAnsi="Times New Roman"/>
              <w:sz w:val="32"/>
              <w:szCs w:val="32"/>
            </w:rPr>
            <w:fldChar w:fldCharType="end"/>
          </w:r>
        </w:p>
        <w:p>
          <w:pPr>
            <w:pStyle w:val="10"/>
            <w:spacing w:line="580" w:lineRule="exact"/>
            <w:ind w:firstLine="185"/>
            <w:rPr>
              <w:rFonts w:ascii="Times New Roman" w:hAnsi="Times New Roman"/>
              <w:kern w:val="2"/>
              <w:sz w:val="32"/>
              <w:szCs w:val="32"/>
            </w:rPr>
          </w:pPr>
          <w:r>
            <w:fldChar w:fldCharType="begin"/>
          </w:r>
          <w:r>
            <w:instrText xml:space="preserve"> HYPERLINK \l "_Toc93410000" </w:instrText>
          </w:r>
          <w:r>
            <w:fldChar w:fldCharType="separate"/>
          </w:r>
          <w:r>
            <w:rPr>
              <w:rStyle w:val="25"/>
              <w:rFonts w:ascii="Times New Roman" w:hAnsi="Times New Roman" w:eastAsia="楷体_GB2312"/>
              <w:sz w:val="32"/>
              <w:szCs w:val="32"/>
            </w:rPr>
            <w:t>6.促进服务业数字化升级</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_Toc93410000 \h </w:instrText>
          </w:r>
          <w:r>
            <w:rPr>
              <w:rFonts w:ascii="Times New Roman" w:hAnsi="Times New Roman"/>
              <w:sz w:val="32"/>
              <w:szCs w:val="32"/>
            </w:rPr>
            <w:fldChar w:fldCharType="separate"/>
          </w:r>
          <w:r>
            <w:rPr>
              <w:rFonts w:ascii="Times New Roman" w:hAnsi="Times New Roman"/>
              <w:sz w:val="32"/>
              <w:szCs w:val="32"/>
            </w:rPr>
            <w:t>45</w:t>
          </w:r>
          <w:r>
            <w:rPr>
              <w:rFonts w:ascii="Times New Roman" w:hAnsi="Times New Roman"/>
              <w:sz w:val="32"/>
              <w:szCs w:val="32"/>
            </w:rPr>
            <w:fldChar w:fldCharType="end"/>
          </w:r>
          <w:r>
            <w:rPr>
              <w:rFonts w:ascii="Times New Roman" w:hAnsi="Times New Roman"/>
              <w:sz w:val="32"/>
              <w:szCs w:val="32"/>
            </w:rPr>
            <w:fldChar w:fldCharType="end"/>
          </w:r>
        </w:p>
        <w:p>
          <w:pPr>
            <w:pStyle w:val="10"/>
            <w:spacing w:line="580" w:lineRule="exact"/>
            <w:ind w:firstLine="185"/>
            <w:rPr>
              <w:rFonts w:ascii="Times New Roman" w:hAnsi="Times New Roman"/>
              <w:kern w:val="2"/>
              <w:sz w:val="32"/>
              <w:szCs w:val="32"/>
            </w:rPr>
          </w:pPr>
          <w:r>
            <w:fldChar w:fldCharType="begin"/>
          </w:r>
          <w:r>
            <w:instrText xml:space="preserve"> HYPERLINK \l "_Toc93410001" </w:instrText>
          </w:r>
          <w:r>
            <w:fldChar w:fldCharType="separate"/>
          </w:r>
          <w:r>
            <w:rPr>
              <w:rStyle w:val="25"/>
              <w:rFonts w:ascii="Times New Roman" w:hAnsi="Times New Roman" w:eastAsia="楷体_GB2312"/>
              <w:sz w:val="32"/>
              <w:szCs w:val="32"/>
            </w:rPr>
            <w:t>7.增强数字技术创新能力</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_Toc93410001 \h </w:instrText>
          </w:r>
          <w:r>
            <w:rPr>
              <w:rFonts w:ascii="Times New Roman" w:hAnsi="Times New Roman"/>
              <w:sz w:val="32"/>
              <w:szCs w:val="32"/>
            </w:rPr>
            <w:fldChar w:fldCharType="separate"/>
          </w:r>
          <w:r>
            <w:rPr>
              <w:rFonts w:ascii="Times New Roman" w:hAnsi="Times New Roman"/>
              <w:sz w:val="32"/>
              <w:szCs w:val="32"/>
            </w:rPr>
            <w:t>49</w:t>
          </w:r>
          <w:r>
            <w:rPr>
              <w:rFonts w:ascii="Times New Roman" w:hAnsi="Times New Roman"/>
              <w:sz w:val="32"/>
              <w:szCs w:val="32"/>
            </w:rPr>
            <w:fldChar w:fldCharType="end"/>
          </w:r>
          <w:r>
            <w:rPr>
              <w:rFonts w:ascii="Times New Roman" w:hAnsi="Times New Roman"/>
              <w:sz w:val="32"/>
              <w:szCs w:val="32"/>
            </w:rPr>
            <w:fldChar w:fldCharType="end"/>
          </w:r>
        </w:p>
        <w:p>
          <w:pPr>
            <w:pStyle w:val="18"/>
            <w:spacing w:line="580" w:lineRule="exact"/>
            <w:rPr>
              <w:rFonts w:eastAsiaTheme="minorEastAsia"/>
              <w:b w:val="0"/>
              <w:bCs w:val="0"/>
              <w:kern w:val="2"/>
            </w:rPr>
          </w:pPr>
          <w:r>
            <w:fldChar w:fldCharType="begin"/>
          </w:r>
          <w:r>
            <w:instrText xml:space="preserve"> HYPERLINK \l "_Toc93410002" </w:instrText>
          </w:r>
          <w:r>
            <w:fldChar w:fldCharType="separate"/>
          </w:r>
          <w:r>
            <w:rPr>
              <w:rStyle w:val="25"/>
              <w:rFonts w:eastAsia="方正楷体_GBK"/>
            </w:rPr>
            <w:t>（四）奋力扩规模提品质，建设高效数字政府</w:t>
          </w:r>
          <w:r>
            <w:tab/>
          </w:r>
          <w:r>
            <w:fldChar w:fldCharType="begin"/>
          </w:r>
          <w:r>
            <w:instrText xml:space="preserve"> PAGEREF _Toc93410002 \h </w:instrText>
          </w:r>
          <w:r>
            <w:fldChar w:fldCharType="separate"/>
          </w:r>
          <w:r>
            <w:t>54</w:t>
          </w:r>
          <w:r>
            <w:fldChar w:fldCharType="end"/>
          </w:r>
          <w:r>
            <w:fldChar w:fldCharType="end"/>
          </w:r>
        </w:p>
        <w:p>
          <w:pPr>
            <w:pStyle w:val="10"/>
            <w:spacing w:line="580" w:lineRule="exact"/>
            <w:ind w:firstLine="185"/>
            <w:rPr>
              <w:rFonts w:ascii="Times New Roman" w:hAnsi="Times New Roman"/>
              <w:kern w:val="2"/>
              <w:sz w:val="32"/>
              <w:szCs w:val="32"/>
            </w:rPr>
          </w:pPr>
          <w:r>
            <w:fldChar w:fldCharType="begin"/>
          </w:r>
          <w:r>
            <w:instrText xml:space="preserve"> HYPERLINK \l "_Toc93410003" </w:instrText>
          </w:r>
          <w:r>
            <w:fldChar w:fldCharType="separate"/>
          </w:r>
          <w:r>
            <w:rPr>
              <w:rStyle w:val="25"/>
              <w:rFonts w:ascii="Times New Roman" w:hAnsi="Times New Roman" w:eastAsia="楷体_GB2312"/>
              <w:sz w:val="32"/>
              <w:szCs w:val="32"/>
            </w:rPr>
            <w:t>1.增强数字政府基础能力</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_Toc93410003 \h </w:instrText>
          </w:r>
          <w:r>
            <w:rPr>
              <w:rFonts w:ascii="Times New Roman" w:hAnsi="Times New Roman"/>
              <w:sz w:val="32"/>
              <w:szCs w:val="32"/>
            </w:rPr>
            <w:fldChar w:fldCharType="separate"/>
          </w:r>
          <w:r>
            <w:rPr>
              <w:rFonts w:ascii="Times New Roman" w:hAnsi="Times New Roman"/>
              <w:sz w:val="32"/>
              <w:szCs w:val="32"/>
            </w:rPr>
            <w:t>54</w:t>
          </w:r>
          <w:r>
            <w:rPr>
              <w:rFonts w:ascii="Times New Roman" w:hAnsi="Times New Roman"/>
              <w:sz w:val="32"/>
              <w:szCs w:val="32"/>
            </w:rPr>
            <w:fldChar w:fldCharType="end"/>
          </w:r>
          <w:r>
            <w:rPr>
              <w:rFonts w:ascii="Times New Roman" w:hAnsi="Times New Roman"/>
              <w:sz w:val="32"/>
              <w:szCs w:val="32"/>
            </w:rPr>
            <w:fldChar w:fldCharType="end"/>
          </w:r>
        </w:p>
        <w:p>
          <w:pPr>
            <w:pStyle w:val="10"/>
            <w:spacing w:line="580" w:lineRule="exact"/>
            <w:ind w:firstLine="185"/>
            <w:rPr>
              <w:rFonts w:ascii="Times New Roman" w:hAnsi="Times New Roman"/>
              <w:kern w:val="2"/>
              <w:sz w:val="32"/>
              <w:szCs w:val="32"/>
            </w:rPr>
          </w:pPr>
          <w:r>
            <w:fldChar w:fldCharType="begin"/>
          </w:r>
          <w:r>
            <w:instrText xml:space="preserve"> HYPERLINK \l "_Toc93410004" </w:instrText>
          </w:r>
          <w:r>
            <w:fldChar w:fldCharType="separate"/>
          </w:r>
          <w:r>
            <w:rPr>
              <w:rStyle w:val="25"/>
              <w:rFonts w:ascii="Times New Roman" w:hAnsi="Times New Roman" w:eastAsia="楷体_GB2312"/>
              <w:sz w:val="32"/>
              <w:szCs w:val="32"/>
            </w:rPr>
            <w:t>2.提升数字政务服务效能</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_Toc93410004 \h </w:instrText>
          </w:r>
          <w:r>
            <w:rPr>
              <w:rFonts w:ascii="Times New Roman" w:hAnsi="Times New Roman"/>
              <w:sz w:val="32"/>
              <w:szCs w:val="32"/>
            </w:rPr>
            <w:fldChar w:fldCharType="separate"/>
          </w:r>
          <w:r>
            <w:rPr>
              <w:rFonts w:ascii="Times New Roman" w:hAnsi="Times New Roman"/>
              <w:sz w:val="32"/>
              <w:szCs w:val="32"/>
            </w:rPr>
            <w:t>57</w:t>
          </w:r>
          <w:r>
            <w:rPr>
              <w:rFonts w:ascii="Times New Roman" w:hAnsi="Times New Roman"/>
              <w:sz w:val="32"/>
              <w:szCs w:val="32"/>
            </w:rPr>
            <w:fldChar w:fldCharType="end"/>
          </w:r>
          <w:r>
            <w:rPr>
              <w:rFonts w:ascii="Times New Roman" w:hAnsi="Times New Roman"/>
              <w:sz w:val="32"/>
              <w:szCs w:val="32"/>
            </w:rPr>
            <w:fldChar w:fldCharType="end"/>
          </w:r>
        </w:p>
        <w:p>
          <w:pPr>
            <w:pStyle w:val="10"/>
            <w:spacing w:line="580" w:lineRule="exact"/>
            <w:ind w:firstLine="185"/>
            <w:rPr>
              <w:rFonts w:ascii="Times New Roman" w:hAnsi="Times New Roman"/>
              <w:kern w:val="2"/>
              <w:sz w:val="32"/>
              <w:szCs w:val="32"/>
            </w:rPr>
          </w:pPr>
          <w:r>
            <w:fldChar w:fldCharType="begin"/>
          </w:r>
          <w:r>
            <w:instrText xml:space="preserve"> HYPERLINK \l "_Toc93410005" </w:instrText>
          </w:r>
          <w:r>
            <w:fldChar w:fldCharType="separate"/>
          </w:r>
          <w:r>
            <w:rPr>
              <w:rStyle w:val="25"/>
              <w:rFonts w:ascii="Times New Roman" w:hAnsi="Times New Roman" w:eastAsia="楷体_GB2312"/>
              <w:sz w:val="32"/>
              <w:szCs w:val="32"/>
            </w:rPr>
            <w:t>3.提高政府数字监管水平</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_Toc93410005 \h </w:instrText>
          </w:r>
          <w:r>
            <w:rPr>
              <w:rFonts w:ascii="Times New Roman" w:hAnsi="Times New Roman"/>
              <w:sz w:val="32"/>
              <w:szCs w:val="32"/>
            </w:rPr>
            <w:fldChar w:fldCharType="separate"/>
          </w:r>
          <w:r>
            <w:rPr>
              <w:rFonts w:ascii="Times New Roman" w:hAnsi="Times New Roman"/>
              <w:sz w:val="32"/>
              <w:szCs w:val="32"/>
            </w:rPr>
            <w:t>60</w:t>
          </w:r>
          <w:r>
            <w:rPr>
              <w:rFonts w:ascii="Times New Roman" w:hAnsi="Times New Roman"/>
              <w:sz w:val="32"/>
              <w:szCs w:val="32"/>
            </w:rPr>
            <w:fldChar w:fldCharType="end"/>
          </w:r>
          <w:r>
            <w:rPr>
              <w:rFonts w:ascii="Times New Roman" w:hAnsi="Times New Roman"/>
              <w:sz w:val="32"/>
              <w:szCs w:val="32"/>
            </w:rPr>
            <w:fldChar w:fldCharType="end"/>
          </w:r>
        </w:p>
        <w:p>
          <w:pPr>
            <w:pStyle w:val="18"/>
            <w:spacing w:line="580" w:lineRule="exact"/>
            <w:rPr>
              <w:rFonts w:eastAsiaTheme="minorEastAsia"/>
              <w:b w:val="0"/>
              <w:bCs w:val="0"/>
              <w:kern w:val="2"/>
            </w:rPr>
          </w:pPr>
          <w:r>
            <w:fldChar w:fldCharType="begin"/>
          </w:r>
          <w:r>
            <w:instrText xml:space="preserve"> HYPERLINK \l "_Toc93410006" </w:instrText>
          </w:r>
          <w:r>
            <w:fldChar w:fldCharType="separate"/>
          </w:r>
          <w:r>
            <w:rPr>
              <w:rStyle w:val="25"/>
              <w:rFonts w:eastAsia="方正楷体_GBK"/>
            </w:rPr>
            <w:t>（五）奋力共建共治共享，增强数字社会治理</w:t>
          </w:r>
          <w:r>
            <w:tab/>
          </w:r>
          <w:r>
            <w:fldChar w:fldCharType="begin"/>
          </w:r>
          <w:r>
            <w:instrText xml:space="preserve"> PAGEREF _Toc93410006 \h </w:instrText>
          </w:r>
          <w:r>
            <w:fldChar w:fldCharType="separate"/>
          </w:r>
          <w:r>
            <w:t>62</w:t>
          </w:r>
          <w:r>
            <w:fldChar w:fldCharType="end"/>
          </w:r>
          <w:r>
            <w:fldChar w:fldCharType="end"/>
          </w:r>
        </w:p>
        <w:p>
          <w:pPr>
            <w:pStyle w:val="10"/>
            <w:spacing w:line="580" w:lineRule="exact"/>
            <w:ind w:firstLine="185"/>
            <w:rPr>
              <w:rFonts w:ascii="Times New Roman" w:hAnsi="Times New Roman"/>
              <w:kern w:val="2"/>
              <w:sz w:val="32"/>
              <w:szCs w:val="32"/>
            </w:rPr>
          </w:pPr>
          <w:r>
            <w:fldChar w:fldCharType="begin"/>
          </w:r>
          <w:r>
            <w:instrText xml:space="preserve"> HYPERLINK \l "_Toc93410007" </w:instrText>
          </w:r>
          <w:r>
            <w:fldChar w:fldCharType="separate"/>
          </w:r>
          <w:r>
            <w:rPr>
              <w:rStyle w:val="25"/>
              <w:rFonts w:ascii="Times New Roman" w:hAnsi="Times New Roman" w:eastAsia="楷体_GB2312"/>
              <w:sz w:val="32"/>
              <w:szCs w:val="32"/>
            </w:rPr>
            <w:t>1.推动生态文明新发展</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_Toc93410007 \h </w:instrText>
          </w:r>
          <w:r>
            <w:rPr>
              <w:rFonts w:ascii="Times New Roman" w:hAnsi="Times New Roman"/>
              <w:sz w:val="32"/>
              <w:szCs w:val="32"/>
            </w:rPr>
            <w:fldChar w:fldCharType="separate"/>
          </w:r>
          <w:r>
            <w:rPr>
              <w:rFonts w:ascii="Times New Roman" w:hAnsi="Times New Roman"/>
              <w:sz w:val="32"/>
              <w:szCs w:val="32"/>
            </w:rPr>
            <w:t>62</w:t>
          </w:r>
          <w:r>
            <w:rPr>
              <w:rFonts w:ascii="Times New Roman" w:hAnsi="Times New Roman"/>
              <w:sz w:val="32"/>
              <w:szCs w:val="32"/>
            </w:rPr>
            <w:fldChar w:fldCharType="end"/>
          </w:r>
          <w:r>
            <w:rPr>
              <w:rFonts w:ascii="Times New Roman" w:hAnsi="Times New Roman"/>
              <w:sz w:val="32"/>
              <w:szCs w:val="32"/>
            </w:rPr>
            <w:fldChar w:fldCharType="end"/>
          </w:r>
        </w:p>
        <w:p>
          <w:pPr>
            <w:pStyle w:val="10"/>
            <w:spacing w:line="580" w:lineRule="exact"/>
            <w:ind w:firstLine="185"/>
            <w:rPr>
              <w:rFonts w:ascii="Times New Roman" w:hAnsi="Times New Roman"/>
              <w:kern w:val="2"/>
              <w:sz w:val="32"/>
              <w:szCs w:val="32"/>
            </w:rPr>
          </w:pPr>
          <w:r>
            <w:fldChar w:fldCharType="begin"/>
          </w:r>
          <w:r>
            <w:instrText xml:space="preserve"> HYPERLINK \l "_Toc93410008" </w:instrText>
          </w:r>
          <w:r>
            <w:fldChar w:fldCharType="separate"/>
          </w:r>
          <w:r>
            <w:rPr>
              <w:rStyle w:val="25"/>
              <w:rFonts w:ascii="Times New Roman" w:hAnsi="Times New Roman" w:eastAsia="楷体_GB2312"/>
              <w:sz w:val="32"/>
              <w:szCs w:val="32"/>
            </w:rPr>
            <w:t>2.加快绿色低碳转型</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_Toc93410008 \h </w:instrText>
          </w:r>
          <w:r>
            <w:rPr>
              <w:rFonts w:ascii="Times New Roman" w:hAnsi="Times New Roman"/>
              <w:sz w:val="32"/>
              <w:szCs w:val="32"/>
            </w:rPr>
            <w:fldChar w:fldCharType="separate"/>
          </w:r>
          <w:r>
            <w:rPr>
              <w:rFonts w:ascii="Times New Roman" w:hAnsi="Times New Roman"/>
              <w:sz w:val="32"/>
              <w:szCs w:val="32"/>
            </w:rPr>
            <w:t>63</w:t>
          </w:r>
          <w:r>
            <w:rPr>
              <w:rFonts w:ascii="Times New Roman" w:hAnsi="Times New Roman"/>
              <w:sz w:val="32"/>
              <w:szCs w:val="32"/>
            </w:rPr>
            <w:fldChar w:fldCharType="end"/>
          </w:r>
          <w:r>
            <w:rPr>
              <w:rFonts w:ascii="Times New Roman" w:hAnsi="Times New Roman"/>
              <w:sz w:val="32"/>
              <w:szCs w:val="32"/>
            </w:rPr>
            <w:fldChar w:fldCharType="end"/>
          </w:r>
        </w:p>
        <w:p>
          <w:pPr>
            <w:pStyle w:val="10"/>
            <w:spacing w:line="580" w:lineRule="exact"/>
            <w:ind w:firstLine="185"/>
            <w:rPr>
              <w:rFonts w:ascii="Times New Roman" w:hAnsi="Times New Roman"/>
              <w:kern w:val="2"/>
              <w:sz w:val="32"/>
              <w:szCs w:val="32"/>
            </w:rPr>
          </w:pPr>
          <w:r>
            <w:fldChar w:fldCharType="begin"/>
          </w:r>
          <w:r>
            <w:instrText xml:space="preserve"> HYPERLINK \l "_Toc93410009" </w:instrText>
          </w:r>
          <w:r>
            <w:fldChar w:fldCharType="separate"/>
          </w:r>
          <w:r>
            <w:rPr>
              <w:rStyle w:val="25"/>
              <w:rFonts w:ascii="Times New Roman" w:hAnsi="Times New Roman" w:eastAsia="楷体_GB2312"/>
              <w:sz w:val="32"/>
              <w:szCs w:val="32"/>
            </w:rPr>
            <w:t>3.构建应急救援新格局</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_Toc93410009 \h </w:instrText>
          </w:r>
          <w:r>
            <w:rPr>
              <w:rFonts w:ascii="Times New Roman" w:hAnsi="Times New Roman"/>
              <w:sz w:val="32"/>
              <w:szCs w:val="32"/>
            </w:rPr>
            <w:fldChar w:fldCharType="separate"/>
          </w:r>
          <w:r>
            <w:rPr>
              <w:rFonts w:ascii="Times New Roman" w:hAnsi="Times New Roman"/>
              <w:sz w:val="32"/>
              <w:szCs w:val="32"/>
            </w:rPr>
            <w:t>64</w:t>
          </w:r>
          <w:r>
            <w:rPr>
              <w:rFonts w:ascii="Times New Roman" w:hAnsi="Times New Roman"/>
              <w:sz w:val="32"/>
              <w:szCs w:val="32"/>
            </w:rPr>
            <w:fldChar w:fldCharType="end"/>
          </w:r>
          <w:r>
            <w:rPr>
              <w:rFonts w:ascii="Times New Roman" w:hAnsi="Times New Roman"/>
              <w:sz w:val="32"/>
              <w:szCs w:val="32"/>
            </w:rPr>
            <w:fldChar w:fldCharType="end"/>
          </w:r>
        </w:p>
        <w:p>
          <w:pPr>
            <w:pStyle w:val="10"/>
            <w:spacing w:line="580" w:lineRule="exact"/>
            <w:ind w:firstLine="185"/>
            <w:rPr>
              <w:rFonts w:ascii="Times New Roman" w:hAnsi="Times New Roman"/>
              <w:kern w:val="2"/>
              <w:sz w:val="32"/>
              <w:szCs w:val="32"/>
            </w:rPr>
          </w:pPr>
          <w:r>
            <w:fldChar w:fldCharType="begin"/>
          </w:r>
          <w:r>
            <w:instrText xml:space="preserve"> HYPERLINK \l "_Toc93410010" </w:instrText>
          </w:r>
          <w:r>
            <w:fldChar w:fldCharType="separate"/>
          </w:r>
          <w:r>
            <w:rPr>
              <w:rStyle w:val="25"/>
              <w:rFonts w:ascii="Times New Roman" w:hAnsi="Times New Roman" w:eastAsia="楷体_GB2312"/>
              <w:sz w:val="32"/>
              <w:szCs w:val="32"/>
            </w:rPr>
            <w:t>4.推进平安玉林建设</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_Toc93410010 \h </w:instrText>
          </w:r>
          <w:r>
            <w:rPr>
              <w:rFonts w:ascii="Times New Roman" w:hAnsi="Times New Roman"/>
              <w:sz w:val="32"/>
              <w:szCs w:val="32"/>
            </w:rPr>
            <w:fldChar w:fldCharType="separate"/>
          </w:r>
          <w:r>
            <w:rPr>
              <w:rFonts w:ascii="Times New Roman" w:hAnsi="Times New Roman"/>
              <w:sz w:val="32"/>
              <w:szCs w:val="32"/>
            </w:rPr>
            <w:t>65</w:t>
          </w:r>
          <w:r>
            <w:rPr>
              <w:rFonts w:ascii="Times New Roman" w:hAnsi="Times New Roman"/>
              <w:sz w:val="32"/>
              <w:szCs w:val="32"/>
            </w:rPr>
            <w:fldChar w:fldCharType="end"/>
          </w:r>
          <w:r>
            <w:rPr>
              <w:rFonts w:ascii="Times New Roman" w:hAnsi="Times New Roman"/>
              <w:sz w:val="32"/>
              <w:szCs w:val="32"/>
            </w:rPr>
            <w:fldChar w:fldCharType="end"/>
          </w:r>
        </w:p>
        <w:p>
          <w:pPr>
            <w:pStyle w:val="18"/>
            <w:spacing w:line="580" w:lineRule="exact"/>
            <w:rPr>
              <w:rFonts w:eastAsiaTheme="minorEastAsia"/>
              <w:b w:val="0"/>
              <w:bCs w:val="0"/>
              <w:kern w:val="2"/>
            </w:rPr>
          </w:pPr>
          <w:r>
            <w:fldChar w:fldCharType="begin"/>
          </w:r>
          <w:r>
            <w:instrText xml:space="preserve"> HYPERLINK \l "_Toc93410011" </w:instrText>
          </w:r>
          <w:r>
            <w:fldChar w:fldCharType="separate"/>
          </w:r>
          <w:r>
            <w:rPr>
              <w:rStyle w:val="25"/>
              <w:rFonts w:eastAsia="方正楷体_GBK"/>
            </w:rPr>
            <w:t>（六）奋力惠民生增福祉，优化数字公共服务</w:t>
          </w:r>
          <w:r>
            <w:tab/>
          </w:r>
          <w:r>
            <w:fldChar w:fldCharType="begin"/>
          </w:r>
          <w:r>
            <w:instrText xml:space="preserve"> PAGEREF _Toc93410011 \h </w:instrText>
          </w:r>
          <w:r>
            <w:fldChar w:fldCharType="separate"/>
          </w:r>
          <w:r>
            <w:t>68</w:t>
          </w:r>
          <w:r>
            <w:fldChar w:fldCharType="end"/>
          </w:r>
          <w:r>
            <w:fldChar w:fldCharType="end"/>
          </w:r>
        </w:p>
        <w:p>
          <w:pPr>
            <w:pStyle w:val="10"/>
            <w:spacing w:line="580" w:lineRule="exact"/>
            <w:ind w:firstLine="185"/>
            <w:rPr>
              <w:rFonts w:ascii="Times New Roman" w:hAnsi="Times New Roman"/>
              <w:kern w:val="2"/>
              <w:sz w:val="32"/>
              <w:szCs w:val="32"/>
            </w:rPr>
          </w:pPr>
          <w:r>
            <w:fldChar w:fldCharType="begin"/>
          </w:r>
          <w:r>
            <w:instrText xml:space="preserve"> HYPERLINK \l "_Toc93410012" </w:instrText>
          </w:r>
          <w:r>
            <w:fldChar w:fldCharType="separate"/>
          </w:r>
          <w:r>
            <w:rPr>
              <w:rStyle w:val="25"/>
              <w:rFonts w:ascii="Times New Roman" w:hAnsi="Times New Roman" w:eastAsia="楷体_GB2312"/>
              <w:sz w:val="32"/>
              <w:szCs w:val="32"/>
            </w:rPr>
            <w:t>1.推进“互联网+医疗”</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_Toc93410012 \h </w:instrText>
          </w:r>
          <w:r>
            <w:rPr>
              <w:rFonts w:ascii="Times New Roman" w:hAnsi="Times New Roman"/>
              <w:sz w:val="32"/>
              <w:szCs w:val="32"/>
            </w:rPr>
            <w:fldChar w:fldCharType="separate"/>
          </w:r>
          <w:r>
            <w:rPr>
              <w:rFonts w:ascii="Times New Roman" w:hAnsi="Times New Roman"/>
              <w:sz w:val="32"/>
              <w:szCs w:val="32"/>
            </w:rPr>
            <w:t>68</w:t>
          </w:r>
          <w:r>
            <w:rPr>
              <w:rFonts w:ascii="Times New Roman" w:hAnsi="Times New Roman"/>
              <w:sz w:val="32"/>
              <w:szCs w:val="32"/>
            </w:rPr>
            <w:fldChar w:fldCharType="end"/>
          </w:r>
          <w:r>
            <w:rPr>
              <w:rFonts w:ascii="Times New Roman" w:hAnsi="Times New Roman"/>
              <w:sz w:val="32"/>
              <w:szCs w:val="32"/>
            </w:rPr>
            <w:fldChar w:fldCharType="end"/>
          </w:r>
        </w:p>
        <w:p>
          <w:pPr>
            <w:pStyle w:val="10"/>
            <w:spacing w:line="580" w:lineRule="exact"/>
            <w:ind w:firstLine="185"/>
            <w:rPr>
              <w:rFonts w:ascii="Times New Roman" w:hAnsi="Times New Roman"/>
              <w:kern w:val="2"/>
              <w:sz w:val="32"/>
              <w:szCs w:val="32"/>
            </w:rPr>
          </w:pPr>
          <w:r>
            <w:fldChar w:fldCharType="begin"/>
          </w:r>
          <w:r>
            <w:instrText xml:space="preserve"> HYPERLINK \l "_Toc93410013" </w:instrText>
          </w:r>
          <w:r>
            <w:fldChar w:fldCharType="separate"/>
          </w:r>
          <w:r>
            <w:rPr>
              <w:rStyle w:val="25"/>
              <w:rFonts w:ascii="Times New Roman" w:hAnsi="Times New Roman" w:eastAsia="楷体_GB2312"/>
              <w:sz w:val="32"/>
              <w:szCs w:val="32"/>
            </w:rPr>
            <w:t>2.发展“互联网+教育”</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_Toc93410013 \h </w:instrText>
          </w:r>
          <w:r>
            <w:rPr>
              <w:rFonts w:ascii="Times New Roman" w:hAnsi="Times New Roman"/>
              <w:sz w:val="32"/>
              <w:szCs w:val="32"/>
            </w:rPr>
            <w:fldChar w:fldCharType="separate"/>
          </w:r>
          <w:r>
            <w:rPr>
              <w:rFonts w:ascii="Times New Roman" w:hAnsi="Times New Roman"/>
              <w:sz w:val="32"/>
              <w:szCs w:val="32"/>
            </w:rPr>
            <w:t>69</w:t>
          </w:r>
          <w:r>
            <w:rPr>
              <w:rFonts w:ascii="Times New Roman" w:hAnsi="Times New Roman"/>
              <w:sz w:val="32"/>
              <w:szCs w:val="32"/>
            </w:rPr>
            <w:fldChar w:fldCharType="end"/>
          </w:r>
          <w:r>
            <w:rPr>
              <w:rFonts w:ascii="Times New Roman" w:hAnsi="Times New Roman"/>
              <w:sz w:val="32"/>
              <w:szCs w:val="32"/>
            </w:rPr>
            <w:fldChar w:fldCharType="end"/>
          </w:r>
        </w:p>
        <w:p>
          <w:pPr>
            <w:pStyle w:val="10"/>
            <w:spacing w:line="580" w:lineRule="exact"/>
            <w:ind w:firstLine="185"/>
            <w:rPr>
              <w:rFonts w:ascii="Times New Roman" w:hAnsi="Times New Roman"/>
              <w:kern w:val="2"/>
              <w:sz w:val="32"/>
              <w:szCs w:val="32"/>
            </w:rPr>
          </w:pPr>
          <w:r>
            <w:fldChar w:fldCharType="begin"/>
          </w:r>
          <w:r>
            <w:instrText xml:space="preserve"> HYPERLINK \l "_Toc93410014" </w:instrText>
          </w:r>
          <w:r>
            <w:fldChar w:fldCharType="separate"/>
          </w:r>
          <w:r>
            <w:rPr>
              <w:rStyle w:val="25"/>
              <w:rFonts w:ascii="Times New Roman" w:hAnsi="Times New Roman" w:eastAsia="楷体_GB2312"/>
              <w:sz w:val="32"/>
              <w:szCs w:val="32"/>
            </w:rPr>
            <w:t>3.推广“互联网+康养”</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_Toc93410014 \h </w:instrText>
          </w:r>
          <w:r>
            <w:rPr>
              <w:rFonts w:ascii="Times New Roman" w:hAnsi="Times New Roman"/>
              <w:sz w:val="32"/>
              <w:szCs w:val="32"/>
            </w:rPr>
            <w:fldChar w:fldCharType="separate"/>
          </w:r>
          <w:r>
            <w:rPr>
              <w:rFonts w:ascii="Times New Roman" w:hAnsi="Times New Roman"/>
              <w:sz w:val="32"/>
              <w:szCs w:val="32"/>
            </w:rPr>
            <w:t>70</w:t>
          </w:r>
          <w:r>
            <w:rPr>
              <w:rFonts w:ascii="Times New Roman" w:hAnsi="Times New Roman"/>
              <w:sz w:val="32"/>
              <w:szCs w:val="32"/>
            </w:rPr>
            <w:fldChar w:fldCharType="end"/>
          </w:r>
          <w:r>
            <w:rPr>
              <w:rFonts w:ascii="Times New Roman" w:hAnsi="Times New Roman"/>
              <w:sz w:val="32"/>
              <w:szCs w:val="32"/>
            </w:rPr>
            <w:fldChar w:fldCharType="end"/>
          </w:r>
        </w:p>
        <w:p>
          <w:pPr>
            <w:pStyle w:val="10"/>
            <w:spacing w:line="580" w:lineRule="exact"/>
            <w:ind w:firstLine="185"/>
            <w:rPr>
              <w:rFonts w:ascii="Times New Roman" w:hAnsi="Times New Roman"/>
              <w:kern w:val="2"/>
              <w:sz w:val="32"/>
              <w:szCs w:val="32"/>
            </w:rPr>
          </w:pPr>
          <w:r>
            <w:fldChar w:fldCharType="begin"/>
          </w:r>
          <w:r>
            <w:instrText xml:space="preserve"> HYPERLINK \l "_Toc93410015" </w:instrText>
          </w:r>
          <w:r>
            <w:fldChar w:fldCharType="separate"/>
          </w:r>
          <w:r>
            <w:rPr>
              <w:rStyle w:val="25"/>
              <w:rFonts w:ascii="Times New Roman" w:hAnsi="Times New Roman" w:eastAsia="楷体_GB2312"/>
              <w:sz w:val="32"/>
              <w:szCs w:val="32"/>
            </w:rPr>
            <w:t>4.推进智慧社区建设</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_Toc93410015 \h </w:instrText>
          </w:r>
          <w:r>
            <w:rPr>
              <w:rFonts w:ascii="Times New Roman" w:hAnsi="Times New Roman"/>
              <w:sz w:val="32"/>
              <w:szCs w:val="32"/>
            </w:rPr>
            <w:fldChar w:fldCharType="separate"/>
          </w:r>
          <w:r>
            <w:rPr>
              <w:rFonts w:ascii="Times New Roman" w:hAnsi="Times New Roman"/>
              <w:sz w:val="32"/>
              <w:szCs w:val="32"/>
            </w:rPr>
            <w:t>70</w:t>
          </w:r>
          <w:r>
            <w:rPr>
              <w:rFonts w:ascii="Times New Roman" w:hAnsi="Times New Roman"/>
              <w:sz w:val="32"/>
              <w:szCs w:val="32"/>
            </w:rPr>
            <w:fldChar w:fldCharType="end"/>
          </w:r>
          <w:r>
            <w:rPr>
              <w:rFonts w:ascii="Times New Roman" w:hAnsi="Times New Roman"/>
              <w:sz w:val="32"/>
              <w:szCs w:val="32"/>
            </w:rPr>
            <w:fldChar w:fldCharType="end"/>
          </w:r>
        </w:p>
        <w:p>
          <w:pPr>
            <w:pStyle w:val="10"/>
            <w:spacing w:line="580" w:lineRule="exact"/>
            <w:ind w:firstLine="185"/>
            <w:rPr>
              <w:rFonts w:ascii="Times New Roman" w:hAnsi="Times New Roman"/>
              <w:kern w:val="2"/>
              <w:sz w:val="32"/>
              <w:szCs w:val="32"/>
            </w:rPr>
          </w:pPr>
          <w:r>
            <w:fldChar w:fldCharType="begin"/>
          </w:r>
          <w:r>
            <w:instrText xml:space="preserve"> HYPERLINK \l "_Toc93410016" </w:instrText>
          </w:r>
          <w:r>
            <w:fldChar w:fldCharType="separate"/>
          </w:r>
          <w:r>
            <w:rPr>
              <w:rStyle w:val="25"/>
              <w:rFonts w:ascii="Times New Roman" w:hAnsi="Times New Roman" w:eastAsia="楷体_GB2312"/>
              <w:sz w:val="32"/>
              <w:szCs w:val="32"/>
            </w:rPr>
            <w:t>5.推行数字社保服务</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_Toc93410016 \h </w:instrText>
          </w:r>
          <w:r>
            <w:rPr>
              <w:rFonts w:ascii="Times New Roman" w:hAnsi="Times New Roman"/>
              <w:sz w:val="32"/>
              <w:szCs w:val="32"/>
            </w:rPr>
            <w:fldChar w:fldCharType="separate"/>
          </w:r>
          <w:r>
            <w:rPr>
              <w:rFonts w:ascii="Times New Roman" w:hAnsi="Times New Roman"/>
              <w:sz w:val="32"/>
              <w:szCs w:val="32"/>
            </w:rPr>
            <w:t>71</w:t>
          </w:r>
          <w:r>
            <w:rPr>
              <w:rFonts w:ascii="Times New Roman" w:hAnsi="Times New Roman"/>
              <w:sz w:val="32"/>
              <w:szCs w:val="32"/>
            </w:rPr>
            <w:fldChar w:fldCharType="end"/>
          </w:r>
          <w:r>
            <w:rPr>
              <w:rFonts w:ascii="Times New Roman" w:hAnsi="Times New Roman"/>
              <w:sz w:val="32"/>
              <w:szCs w:val="32"/>
            </w:rPr>
            <w:fldChar w:fldCharType="end"/>
          </w:r>
        </w:p>
        <w:p>
          <w:pPr>
            <w:pStyle w:val="10"/>
            <w:spacing w:line="580" w:lineRule="exact"/>
            <w:ind w:firstLine="185"/>
            <w:rPr>
              <w:rFonts w:ascii="Times New Roman" w:hAnsi="Times New Roman"/>
              <w:kern w:val="2"/>
              <w:sz w:val="32"/>
              <w:szCs w:val="32"/>
            </w:rPr>
          </w:pPr>
          <w:r>
            <w:fldChar w:fldCharType="begin"/>
          </w:r>
          <w:r>
            <w:instrText xml:space="preserve"> HYPERLINK \l "_Toc93410017" </w:instrText>
          </w:r>
          <w:r>
            <w:fldChar w:fldCharType="separate"/>
          </w:r>
          <w:r>
            <w:rPr>
              <w:rStyle w:val="25"/>
              <w:rFonts w:ascii="Times New Roman" w:hAnsi="Times New Roman" w:eastAsia="楷体_GB2312"/>
              <w:sz w:val="32"/>
              <w:szCs w:val="32"/>
            </w:rPr>
            <w:t>6.推动智能交通试点</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_Toc93410017 \h </w:instrText>
          </w:r>
          <w:r>
            <w:rPr>
              <w:rFonts w:ascii="Times New Roman" w:hAnsi="Times New Roman"/>
              <w:sz w:val="32"/>
              <w:szCs w:val="32"/>
            </w:rPr>
            <w:fldChar w:fldCharType="separate"/>
          </w:r>
          <w:r>
            <w:rPr>
              <w:rFonts w:ascii="Times New Roman" w:hAnsi="Times New Roman"/>
              <w:sz w:val="32"/>
              <w:szCs w:val="32"/>
            </w:rPr>
            <w:t>72</w:t>
          </w:r>
          <w:r>
            <w:rPr>
              <w:rFonts w:ascii="Times New Roman" w:hAnsi="Times New Roman"/>
              <w:sz w:val="32"/>
              <w:szCs w:val="32"/>
            </w:rPr>
            <w:fldChar w:fldCharType="end"/>
          </w:r>
          <w:r>
            <w:rPr>
              <w:rFonts w:ascii="Times New Roman" w:hAnsi="Times New Roman"/>
              <w:sz w:val="32"/>
              <w:szCs w:val="32"/>
            </w:rPr>
            <w:fldChar w:fldCharType="end"/>
          </w:r>
        </w:p>
        <w:p>
          <w:pPr>
            <w:pStyle w:val="10"/>
            <w:spacing w:line="580" w:lineRule="exact"/>
            <w:ind w:firstLine="185"/>
            <w:rPr>
              <w:rFonts w:ascii="Times New Roman" w:hAnsi="Times New Roman"/>
              <w:kern w:val="2"/>
              <w:sz w:val="32"/>
              <w:szCs w:val="32"/>
            </w:rPr>
          </w:pPr>
          <w:r>
            <w:fldChar w:fldCharType="begin"/>
          </w:r>
          <w:r>
            <w:instrText xml:space="preserve"> HYPERLINK \l "_Toc93410018" </w:instrText>
          </w:r>
          <w:r>
            <w:fldChar w:fldCharType="separate"/>
          </w:r>
          <w:r>
            <w:rPr>
              <w:rStyle w:val="25"/>
              <w:rFonts w:ascii="Times New Roman" w:hAnsi="Times New Roman" w:eastAsia="楷体_GB2312"/>
              <w:sz w:val="32"/>
              <w:szCs w:val="32"/>
            </w:rPr>
            <w:t>7.丰富数字文旅服务</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_Toc93410018 \h </w:instrText>
          </w:r>
          <w:r>
            <w:rPr>
              <w:rFonts w:ascii="Times New Roman" w:hAnsi="Times New Roman"/>
              <w:sz w:val="32"/>
              <w:szCs w:val="32"/>
            </w:rPr>
            <w:fldChar w:fldCharType="separate"/>
          </w:r>
          <w:r>
            <w:rPr>
              <w:rFonts w:ascii="Times New Roman" w:hAnsi="Times New Roman"/>
              <w:sz w:val="32"/>
              <w:szCs w:val="32"/>
            </w:rPr>
            <w:t>72</w:t>
          </w:r>
          <w:r>
            <w:rPr>
              <w:rFonts w:ascii="Times New Roman" w:hAnsi="Times New Roman"/>
              <w:sz w:val="32"/>
              <w:szCs w:val="32"/>
            </w:rPr>
            <w:fldChar w:fldCharType="end"/>
          </w:r>
          <w:r>
            <w:rPr>
              <w:rFonts w:ascii="Times New Roman" w:hAnsi="Times New Roman"/>
              <w:sz w:val="32"/>
              <w:szCs w:val="32"/>
            </w:rPr>
            <w:fldChar w:fldCharType="end"/>
          </w:r>
        </w:p>
        <w:p>
          <w:pPr>
            <w:pStyle w:val="18"/>
            <w:spacing w:line="580" w:lineRule="exact"/>
            <w:rPr>
              <w:rFonts w:eastAsiaTheme="minorEastAsia"/>
              <w:b w:val="0"/>
              <w:bCs w:val="0"/>
              <w:kern w:val="2"/>
            </w:rPr>
          </w:pPr>
          <w:r>
            <w:fldChar w:fldCharType="begin"/>
          </w:r>
          <w:r>
            <w:instrText xml:space="preserve"> HYPERLINK \l "_Toc93410019" </w:instrText>
          </w:r>
          <w:r>
            <w:fldChar w:fldCharType="separate"/>
          </w:r>
          <w:r>
            <w:rPr>
              <w:rStyle w:val="25"/>
            </w:rPr>
            <w:t>（七）奋力做强城镇做美乡村，持续建设新型智慧城乡</w:t>
          </w:r>
          <w:r>
            <w:tab/>
          </w:r>
          <w:r>
            <w:fldChar w:fldCharType="begin"/>
          </w:r>
          <w:r>
            <w:instrText xml:space="preserve"> PAGEREF _Toc93410019 \h </w:instrText>
          </w:r>
          <w:r>
            <w:fldChar w:fldCharType="separate"/>
          </w:r>
          <w:r>
            <w:t>76</w:t>
          </w:r>
          <w:r>
            <w:fldChar w:fldCharType="end"/>
          </w:r>
          <w:r>
            <w:fldChar w:fldCharType="end"/>
          </w:r>
        </w:p>
        <w:p>
          <w:pPr>
            <w:pStyle w:val="10"/>
            <w:spacing w:line="580" w:lineRule="exact"/>
            <w:ind w:firstLine="185"/>
            <w:rPr>
              <w:rFonts w:ascii="Times New Roman" w:hAnsi="Times New Roman"/>
              <w:kern w:val="2"/>
              <w:sz w:val="32"/>
              <w:szCs w:val="32"/>
            </w:rPr>
          </w:pPr>
          <w:r>
            <w:fldChar w:fldCharType="begin"/>
          </w:r>
          <w:r>
            <w:instrText xml:space="preserve"> HYPERLINK \l "_Toc93410020" </w:instrText>
          </w:r>
          <w:r>
            <w:fldChar w:fldCharType="separate"/>
          </w:r>
          <w:r>
            <w:rPr>
              <w:rStyle w:val="25"/>
              <w:rFonts w:ascii="Times New Roman" w:hAnsi="Times New Roman" w:eastAsia="楷体_GB2312"/>
              <w:sz w:val="32"/>
              <w:szCs w:val="32"/>
            </w:rPr>
            <w:t>1.推进新型智慧城市建设</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_Toc93410020 \h </w:instrText>
          </w:r>
          <w:r>
            <w:rPr>
              <w:rFonts w:ascii="Times New Roman" w:hAnsi="Times New Roman"/>
              <w:sz w:val="32"/>
              <w:szCs w:val="32"/>
            </w:rPr>
            <w:fldChar w:fldCharType="separate"/>
          </w:r>
          <w:r>
            <w:rPr>
              <w:rFonts w:ascii="Times New Roman" w:hAnsi="Times New Roman"/>
              <w:sz w:val="32"/>
              <w:szCs w:val="32"/>
            </w:rPr>
            <w:t>76</w:t>
          </w:r>
          <w:r>
            <w:rPr>
              <w:rFonts w:ascii="Times New Roman" w:hAnsi="Times New Roman"/>
              <w:sz w:val="32"/>
              <w:szCs w:val="32"/>
            </w:rPr>
            <w:fldChar w:fldCharType="end"/>
          </w:r>
          <w:r>
            <w:rPr>
              <w:rFonts w:ascii="Times New Roman" w:hAnsi="Times New Roman"/>
              <w:sz w:val="32"/>
              <w:szCs w:val="32"/>
            </w:rPr>
            <w:fldChar w:fldCharType="end"/>
          </w:r>
        </w:p>
        <w:p>
          <w:pPr>
            <w:pStyle w:val="10"/>
            <w:spacing w:line="580" w:lineRule="exact"/>
            <w:ind w:firstLine="185"/>
            <w:rPr>
              <w:rFonts w:ascii="Times New Roman" w:hAnsi="Times New Roman"/>
              <w:kern w:val="2"/>
              <w:sz w:val="32"/>
              <w:szCs w:val="32"/>
            </w:rPr>
          </w:pPr>
          <w:r>
            <w:fldChar w:fldCharType="begin"/>
          </w:r>
          <w:r>
            <w:instrText xml:space="preserve"> HYPERLINK \l "_Toc93410021" </w:instrText>
          </w:r>
          <w:r>
            <w:fldChar w:fldCharType="separate"/>
          </w:r>
          <w:r>
            <w:rPr>
              <w:rStyle w:val="25"/>
              <w:rFonts w:ascii="Times New Roman" w:hAnsi="Times New Roman" w:eastAsia="方正楷体_GBK"/>
              <w:sz w:val="32"/>
              <w:szCs w:val="32"/>
            </w:rPr>
            <w:t>2.助力实施乡村振兴战略</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_Toc93410021 \h </w:instrText>
          </w:r>
          <w:r>
            <w:rPr>
              <w:rFonts w:ascii="Times New Roman" w:hAnsi="Times New Roman"/>
              <w:sz w:val="32"/>
              <w:szCs w:val="32"/>
            </w:rPr>
            <w:fldChar w:fldCharType="separate"/>
          </w:r>
          <w:r>
            <w:rPr>
              <w:rFonts w:ascii="Times New Roman" w:hAnsi="Times New Roman"/>
              <w:sz w:val="32"/>
              <w:szCs w:val="32"/>
            </w:rPr>
            <w:t>77</w:t>
          </w:r>
          <w:r>
            <w:rPr>
              <w:rFonts w:ascii="Times New Roman" w:hAnsi="Times New Roman"/>
              <w:sz w:val="32"/>
              <w:szCs w:val="32"/>
            </w:rPr>
            <w:fldChar w:fldCharType="end"/>
          </w:r>
          <w:r>
            <w:rPr>
              <w:rFonts w:ascii="Times New Roman" w:hAnsi="Times New Roman"/>
              <w:sz w:val="32"/>
              <w:szCs w:val="32"/>
            </w:rPr>
            <w:fldChar w:fldCharType="end"/>
          </w:r>
        </w:p>
        <w:p>
          <w:pPr>
            <w:pStyle w:val="18"/>
            <w:spacing w:line="580" w:lineRule="exact"/>
            <w:rPr>
              <w:rFonts w:eastAsiaTheme="minorEastAsia"/>
              <w:b w:val="0"/>
              <w:bCs w:val="0"/>
              <w:kern w:val="2"/>
            </w:rPr>
          </w:pPr>
          <w:r>
            <w:fldChar w:fldCharType="begin"/>
          </w:r>
          <w:r>
            <w:instrText xml:space="preserve"> HYPERLINK \l "_Toc93410022" </w:instrText>
          </w:r>
          <w:r>
            <w:fldChar w:fldCharType="separate"/>
          </w:r>
          <w:r>
            <w:rPr>
              <w:rStyle w:val="25"/>
            </w:rPr>
            <w:t>（八）奋力强枢纽扩开放，融入数字开放发展新格局</w:t>
          </w:r>
          <w:r>
            <w:tab/>
          </w:r>
          <w:r>
            <w:fldChar w:fldCharType="begin"/>
          </w:r>
          <w:r>
            <w:instrText xml:space="preserve"> PAGEREF _Toc93410022 \h </w:instrText>
          </w:r>
          <w:r>
            <w:fldChar w:fldCharType="separate"/>
          </w:r>
          <w:r>
            <w:t>78</w:t>
          </w:r>
          <w:r>
            <w:fldChar w:fldCharType="end"/>
          </w:r>
          <w:r>
            <w:fldChar w:fldCharType="end"/>
          </w:r>
        </w:p>
        <w:p>
          <w:pPr>
            <w:pStyle w:val="10"/>
            <w:spacing w:line="580" w:lineRule="exact"/>
            <w:ind w:firstLine="185"/>
            <w:rPr>
              <w:rFonts w:ascii="Times New Roman" w:hAnsi="Times New Roman"/>
              <w:kern w:val="2"/>
              <w:sz w:val="32"/>
              <w:szCs w:val="32"/>
            </w:rPr>
          </w:pPr>
          <w:r>
            <w:fldChar w:fldCharType="begin"/>
          </w:r>
          <w:r>
            <w:instrText xml:space="preserve"> HYPERLINK \l "_Toc93410023" </w:instrText>
          </w:r>
          <w:r>
            <w:fldChar w:fldCharType="separate"/>
          </w:r>
          <w:r>
            <w:rPr>
              <w:rStyle w:val="25"/>
              <w:rFonts w:ascii="Times New Roman" w:hAnsi="Times New Roman" w:eastAsia="楷体_GB2312"/>
              <w:sz w:val="32"/>
              <w:szCs w:val="32"/>
            </w:rPr>
            <w:t>1.推动基础设施共建共享</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_Toc93410023 \h </w:instrText>
          </w:r>
          <w:r>
            <w:rPr>
              <w:rFonts w:ascii="Times New Roman" w:hAnsi="Times New Roman"/>
              <w:sz w:val="32"/>
              <w:szCs w:val="32"/>
            </w:rPr>
            <w:fldChar w:fldCharType="separate"/>
          </w:r>
          <w:r>
            <w:rPr>
              <w:rFonts w:ascii="Times New Roman" w:hAnsi="Times New Roman"/>
              <w:sz w:val="32"/>
              <w:szCs w:val="32"/>
            </w:rPr>
            <w:t>78</w:t>
          </w:r>
          <w:r>
            <w:rPr>
              <w:rFonts w:ascii="Times New Roman" w:hAnsi="Times New Roman"/>
              <w:sz w:val="32"/>
              <w:szCs w:val="32"/>
            </w:rPr>
            <w:fldChar w:fldCharType="end"/>
          </w:r>
          <w:r>
            <w:rPr>
              <w:rFonts w:ascii="Times New Roman" w:hAnsi="Times New Roman"/>
              <w:sz w:val="32"/>
              <w:szCs w:val="32"/>
            </w:rPr>
            <w:fldChar w:fldCharType="end"/>
          </w:r>
        </w:p>
        <w:p>
          <w:pPr>
            <w:pStyle w:val="10"/>
            <w:spacing w:line="580" w:lineRule="exact"/>
            <w:ind w:firstLine="185"/>
            <w:rPr>
              <w:rFonts w:ascii="Times New Roman" w:hAnsi="Times New Roman"/>
              <w:kern w:val="2"/>
              <w:sz w:val="32"/>
              <w:szCs w:val="32"/>
            </w:rPr>
          </w:pPr>
          <w:r>
            <w:fldChar w:fldCharType="begin"/>
          </w:r>
          <w:r>
            <w:instrText xml:space="preserve"> HYPERLINK \l "_Toc93410024" </w:instrText>
          </w:r>
          <w:r>
            <w:fldChar w:fldCharType="separate"/>
          </w:r>
          <w:r>
            <w:rPr>
              <w:rStyle w:val="25"/>
              <w:rFonts w:ascii="Times New Roman" w:hAnsi="Times New Roman" w:eastAsia="楷体_GB2312"/>
              <w:sz w:val="32"/>
              <w:szCs w:val="32"/>
            </w:rPr>
            <w:t>2.促进科创资源互通共享</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_Toc93410024 \h </w:instrText>
          </w:r>
          <w:r>
            <w:rPr>
              <w:rFonts w:ascii="Times New Roman" w:hAnsi="Times New Roman"/>
              <w:sz w:val="32"/>
              <w:szCs w:val="32"/>
            </w:rPr>
            <w:fldChar w:fldCharType="separate"/>
          </w:r>
          <w:r>
            <w:rPr>
              <w:rFonts w:ascii="Times New Roman" w:hAnsi="Times New Roman"/>
              <w:sz w:val="32"/>
              <w:szCs w:val="32"/>
            </w:rPr>
            <w:t>79</w:t>
          </w:r>
          <w:r>
            <w:rPr>
              <w:rFonts w:ascii="Times New Roman" w:hAnsi="Times New Roman"/>
              <w:sz w:val="32"/>
              <w:szCs w:val="32"/>
            </w:rPr>
            <w:fldChar w:fldCharType="end"/>
          </w:r>
          <w:r>
            <w:rPr>
              <w:rFonts w:ascii="Times New Roman" w:hAnsi="Times New Roman"/>
              <w:sz w:val="32"/>
              <w:szCs w:val="32"/>
            </w:rPr>
            <w:fldChar w:fldCharType="end"/>
          </w:r>
        </w:p>
        <w:p>
          <w:pPr>
            <w:pStyle w:val="10"/>
            <w:spacing w:line="580" w:lineRule="exact"/>
            <w:ind w:firstLine="185"/>
            <w:rPr>
              <w:rFonts w:ascii="Times New Roman" w:hAnsi="Times New Roman"/>
              <w:kern w:val="2"/>
              <w:sz w:val="32"/>
              <w:szCs w:val="32"/>
            </w:rPr>
          </w:pPr>
          <w:r>
            <w:fldChar w:fldCharType="begin"/>
          </w:r>
          <w:r>
            <w:instrText xml:space="preserve"> HYPERLINK \l "_Toc93410025" </w:instrText>
          </w:r>
          <w:r>
            <w:fldChar w:fldCharType="separate"/>
          </w:r>
          <w:r>
            <w:rPr>
              <w:rStyle w:val="25"/>
              <w:rFonts w:ascii="Times New Roman" w:hAnsi="Times New Roman" w:eastAsia="楷体_GB2312"/>
              <w:sz w:val="32"/>
              <w:szCs w:val="32"/>
            </w:rPr>
            <w:t>3.推进产业发展互补互利</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_Toc93410025 \h </w:instrText>
          </w:r>
          <w:r>
            <w:rPr>
              <w:rFonts w:ascii="Times New Roman" w:hAnsi="Times New Roman"/>
              <w:sz w:val="32"/>
              <w:szCs w:val="32"/>
            </w:rPr>
            <w:fldChar w:fldCharType="separate"/>
          </w:r>
          <w:r>
            <w:rPr>
              <w:rFonts w:ascii="Times New Roman" w:hAnsi="Times New Roman"/>
              <w:sz w:val="32"/>
              <w:szCs w:val="32"/>
            </w:rPr>
            <w:t>81</w:t>
          </w:r>
          <w:r>
            <w:rPr>
              <w:rFonts w:ascii="Times New Roman" w:hAnsi="Times New Roman"/>
              <w:sz w:val="32"/>
              <w:szCs w:val="32"/>
            </w:rPr>
            <w:fldChar w:fldCharType="end"/>
          </w:r>
          <w:r>
            <w:rPr>
              <w:rFonts w:ascii="Times New Roman" w:hAnsi="Times New Roman"/>
              <w:sz w:val="32"/>
              <w:szCs w:val="32"/>
            </w:rPr>
            <w:fldChar w:fldCharType="end"/>
          </w:r>
        </w:p>
        <w:p>
          <w:pPr>
            <w:pStyle w:val="18"/>
            <w:spacing w:line="580" w:lineRule="exact"/>
            <w:rPr>
              <w:rFonts w:eastAsiaTheme="minorEastAsia"/>
              <w:b w:val="0"/>
              <w:bCs w:val="0"/>
              <w:kern w:val="2"/>
            </w:rPr>
          </w:pPr>
          <w:r>
            <w:fldChar w:fldCharType="begin"/>
          </w:r>
          <w:r>
            <w:instrText xml:space="preserve"> HYPERLINK \l "_Toc93410026" </w:instrText>
          </w:r>
          <w:r>
            <w:fldChar w:fldCharType="separate"/>
          </w:r>
          <w:r>
            <w:rPr>
              <w:rStyle w:val="25"/>
              <w:rFonts w:eastAsia="方正楷体_GBK"/>
            </w:rPr>
            <w:t>（九）保障数字政府一体安全，推动数字生态健康发展</w:t>
          </w:r>
          <w:r>
            <w:tab/>
          </w:r>
          <w:r>
            <w:fldChar w:fldCharType="begin"/>
          </w:r>
          <w:r>
            <w:instrText xml:space="preserve"> PAGEREF _Toc93410026 \h </w:instrText>
          </w:r>
          <w:r>
            <w:fldChar w:fldCharType="separate"/>
          </w:r>
          <w:r>
            <w:t>83</w:t>
          </w:r>
          <w:r>
            <w:fldChar w:fldCharType="end"/>
          </w:r>
          <w:r>
            <w:fldChar w:fldCharType="end"/>
          </w:r>
        </w:p>
        <w:p>
          <w:pPr>
            <w:pStyle w:val="10"/>
            <w:spacing w:line="580" w:lineRule="exact"/>
            <w:ind w:firstLine="185"/>
            <w:rPr>
              <w:rFonts w:ascii="Times New Roman" w:hAnsi="Times New Roman"/>
              <w:kern w:val="2"/>
              <w:sz w:val="32"/>
              <w:szCs w:val="32"/>
            </w:rPr>
          </w:pPr>
          <w:r>
            <w:fldChar w:fldCharType="begin"/>
          </w:r>
          <w:r>
            <w:instrText xml:space="preserve"> HYPERLINK \l "_Toc93410027" </w:instrText>
          </w:r>
          <w:r>
            <w:fldChar w:fldCharType="separate"/>
          </w:r>
          <w:r>
            <w:rPr>
              <w:rStyle w:val="25"/>
              <w:rFonts w:ascii="Times New Roman" w:hAnsi="Times New Roman" w:eastAsia="楷体_GB2312"/>
              <w:sz w:val="32"/>
              <w:szCs w:val="32"/>
            </w:rPr>
            <w:t>1.打造数据治理生态</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_Toc93410027 \h </w:instrText>
          </w:r>
          <w:r>
            <w:rPr>
              <w:rFonts w:ascii="Times New Roman" w:hAnsi="Times New Roman"/>
              <w:sz w:val="32"/>
              <w:szCs w:val="32"/>
            </w:rPr>
            <w:fldChar w:fldCharType="separate"/>
          </w:r>
          <w:r>
            <w:rPr>
              <w:rFonts w:ascii="Times New Roman" w:hAnsi="Times New Roman"/>
              <w:sz w:val="32"/>
              <w:szCs w:val="32"/>
            </w:rPr>
            <w:t>83</w:t>
          </w:r>
          <w:r>
            <w:rPr>
              <w:rFonts w:ascii="Times New Roman" w:hAnsi="Times New Roman"/>
              <w:sz w:val="32"/>
              <w:szCs w:val="32"/>
            </w:rPr>
            <w:fldChar w:fldCharType="end"/>
          </w:r>
          <w:r>
            <w:rPr>
              <w:rFonts w:ascii="Times New Roman" w:hAnsi="Times New Roman"/>
              <w:sz w:val="32"/>
              <w:szCs w:val="32"/>
            </w:rPr>
            <w:fldChar w:fldCharType="end"/>
          </w:r>
        </w:p>
        <w:p>
          <w:pPr>
            <w:pStyle w:val="10"/>
            <w:spacing w:line="580" w:lineRule="exact"/>
            <w:ind w:firstLine="185"/>
            <w:rPr>
              <w:rFonts w:ascii="Times New Roman" w:hAnsi="Times New Roman"/>
              <w:kern w:val="2"/>
              <w:sz w:val="32"/>
              <w:szCs w:val="32"/>
            </w:rPr>
          </w:pPr>
          <w:r>
            <w:fldChar w:fldCharType="begin"/>
          </w:r>
          <w:r>
            <w:instrText xml:space="preserve"> HYPERLINK \l "_Toc93410028" </w:instrText>
          </w:r>
          <w:r>
            <w:fldChar w:fldCharType="separate"/>
          </w:r>
          <w:r>
            <w:rPr>
              <w:rStyle w:val="25"/>
              <w:rFonts w:ascii="Times New Roman" w:hAnsi="Times New Roman" w:eastAsia="楷体_GB2312"/>
              <w:sz w:val="32"/>
              <w:szCs w:val="32"/>
            </w:rPr>
            <w:t>2.提升数字安全防护能力</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_Toc93410028 \h </w:instrText>
          </w:r>
          <w:r>
            <w:rPr>
              <w:rFonts w:ascii="Times New Roman" w:hAnsi="Times New Roman"/>
              <w:sz w:val="32"/>
              <w:szCs w:val="32"/>
            </w:rPr>
            <w:fldChar w:fldCharType="separate"/>
          </w:r>
          <w:r>
            <w:rPr>
              <w:rFonts w:ascii="Times New Roman" w:hAnsi="Times New Roman"/>
              <w:sz w:val="32"/>
              <w:szCs w:val="32"/>
            </w:rPr>
            <w:t>83</w:t>
          </w:r>
          <w:r>
            <w:rPr>
              <w:rFonts w:ascii="Times New Roman" w:hAnsi="Times New Roman"/>
              <w:sz w:val="32"/>
              <w:szCs w:val="32"/>
            </w:rPr>
            <w:fldChar w:fldCharType="end"/>
          </w:r>
          <w:r>
            <w:rPr>
              <w:rFonts w:ascii="Times New Roman" w:hAnsi="Times New Roman"/>
              <w:sz w:val="32"/>
              <w:szCs w:val="32"/>
            </w:rPr>
            <w:fldChar w:fldCharType="end"/>
          </w:r>
        </w:p>
        <w:p>
          <w:pPr>
            <w:pStyle w:val="16"/>
            <w:spacing w:line="580" w:lineRule="exact"/>
            <w:rPr>
              <w:rFonts w:eastAsiaTheme="minorEastAsia"/>
              <w:b w:val="0"/>
              <w:bCs w:val="0"/>
              <w:kern w:val="2"/>
            </w:rPr>
          </w:pPr>
          <w:r>
            <w:fldChar w:fldCharType="begin"/>
          </w:r>
          <w:r>
            <w:instrText xml:space="preserve"> HYPERLINK \l "_Toc93410029" </w:instrText>
          </w:r>
          <w:r>
            <w:fldChar w:fldCharType="separate"/>
          </w:r>
          <w:r>
            <w:rPr>
              <w:rStyle w:val="25"/>
              <w:rFonts w:eastAsia="方正黑体_GBK"/>
            </w:rPr>
            <w:t>五、保障措施</w:t>
          </w:r>
          <w:r>
            <w:tab/>
          </w:r>
          <w:r>
            <w:fldChar w:fldCharType="begin"/>
          </w:r>
          <w:r>
            <w:instrText xml:space="preserve"> PAGEREF _Toc93410029 \h </w:instrText>
          </w:r>
          <w:r>
            <w:fldChar w:fldCharType="separate"/>
          </w:r>
          <w:r>
            <w:t>85</w:t>
          </w:r>
          <w:r>
            <w:fldChar w:fldCharType="end"/>
          </w:r>
          <w:r>
            <w:fldChar w:fldCharType="end"/>
          </w:r>
        </w:p>
        <w:p>
          <w:pPr>
            <w:pStyle w:val="18"/>
            <w:spacing w:line="580" w:lineRule="exact"/>
            <w:rPr>
              <w:rFonts w:eastAsiaTheme="minorEastAsia"/>
              <w:b w:val="0"/>
              <w:bCs w:val="0"/>
              <w:kern w:val="2"/>
            </w:rPr>
          </w:pPr>
          <w:r>
            <w:fldChar w:fldCharType="begin"/>
          </w:r>
          <w:r>
            <w:instrText xml:space="preserve"> HYPERLINK \l "_Toc93410030" </w:instrText>
          </w:r>
          <w:r>
            <w:fldChar w:fldCharType="separate"/>
          </w:r>
          <w:r>
            <w:rPr>
              <w:rStyle w:val="25"/>
            </w:rPr>
            <w:t>（一）坚持党建引领</w:t>
          </w:r>
          <w:r>
            <w:tab/>
          </w:r>
          <w:r>
            <w:fldChar w:fldCharType="begin"/>
          </w:r>
          <w:r>
            <w:instrText xml:space="preserve"> PAGEREF _Toc93410030 \h </w:instrText>
          </w:r>
          <w:r>
            <w:fldChar w:fldCharType="separate"/>
          </w:r>
          <w:r>
            <w:t>85</w:t>
          </w:r>
          <w:r>
            <w:fldChar w:fldCharType="end"/>
          </w:r>
          <w:r>
            <w:fldChar w:fldCharType="end"/>
          </w:r>
        </w:p>
        <w:p>
          <w:pPr>
            <w:pStyle w:val="18"/>
            <w:spacing w:line="580" w:lineRule="exact"/>
            <w:rPr>
              <w:rFonts w:eastAsiaTheme="minorEastAsia"/>
              <w:b w:val="0"/>
              <w:bCs w:val="0"/>
              <w:kern w:val="2"/>
            </w:rPr>
          </w:pPr>
          <w:r>
            <w:fldChar w:fldCharType="begin"/>
          </w:r>
          <w:r>
            <w:instrText xml:space="preserve"> HYPERLINK \l "_Toc93410031" </w:instrText>
          </w:r>
          <w:r>
            <w:fldChar w:fldCharType="separate"/>
          </w:r>
          <w:r>
            <w:rPr>
              <w:rStyle w:val="25"/>
            </w:rPr>
            <w:t>（二）加强组织领导</w:t>
          </w:r>
          <w:r>
            <w:tab/>
          </w:r>
          <w:r>
            <w:fldChar w:fldCharType="begin"/>
          </w:r>
          <w:r>
            <w:instrText xml:space="preserve"> PAGEREF _Toc93410031 \h </w:instrText>
          </w:r>
          <w:r>
            <w:fldChar w:fldCharType="separate"/>
          </w:r>
          <w:r>
            <w:t>86</w:t>
          </w:r>
          <w:r>
            <w:fldChar w:fldCharType="end"/>
          </w:r>
          <w:r>
            <w:fldChar w:fldCharType="end"/>
          </w:r>
        </w:p>
        <w:p>
          <w:pPr>
            <w:pStyle w:val="18"/>
            <w:spacing w:line="580" w:lineRule="exact"/>
            <w:rPr>
              <w:rFonts w:eastAsiaTheme="minorEastAsia"/>
              <w:b w:val="0"/>
              <w:bCs w:val="0"/>
              <w:kern w:val="2"/>
            </w:rPr>
          </w:pPr>
          <w:r>
            <w:fldChar w:fldCharType="begin"/>
          </w:r>
          <w:r>
            <w:instrText xml:space="preserve"> HYPERLINK \l "_Toc93410032" </w:instrText>
          </w:r>
          <w:r>
            <w:fldChar w:fldCharType="separate"/>
          </w:r>
          <w:r>
            <w:rPr>
              <w:rStyle w:val="25"/>
            </w:rPr>
            <w:t>（三）落实资金保障</w:t>
          </w:r>
          <w:r>
            <w:tab/>
          </w:r>
          <w:r>
            <w:fldChar w:fldCharType="begin"/>
          </w:r>
          <w:r>
            <w:instrText xml:space="preserve"> PAGEREF _Toc93410032 \h </w:instrText>
          </w:r>
          <w:r>
            <w:fldChar w:fldCharType="separate"/>
          </w:r>
          <w:r>
            <w:t>86</w:t>
          </w:r>
          <w:r>
            <w:fldChar w:fldCharType="end"/>
          </w:r>
          <w:r>
            <w:fldChar w:fldCharType="end"/>
          </w:r>
        </w:p>
        <w:p>
          <w:pPr>
            <w:pStyle w:val="18"/>
            <w:spacing w:line="580" w:lineRule="exact"/>
            <w:rPr>
              <w:rFonts w:eastAsiaTheme="minorEastAsia"/>
              <w:b w:val="0"/>
              <w:bCs w:val="0"/>
              <w:kern w:val="2"/>
            </w:rPr>
          </w:pPr>
          <w:r>
            <w:fldChar w:fldCharType="begin"/>
          </w:r>
          <w:r>
            <w:instrText xml:space="preserve"> HYPERLINK \l "_Toc93410033" </w:instrText>
          </w:r>
          <w:r>
            <w:fldChar w:fldCharType="separate"/>
          </w:r>
          <w:r>
            <w:rPr>
              <w:rStyle w:val="25"/>
            </w:rPr>
            <w:t>（四）完善项目管理</w:t>
          </w:r>
          <w:r>
            <w:tab/>
          </w:r>
          <w:r>
            <w:fldChar w:fldCharType="begin"/>
          </w:r>
          <w:r>
            <w:instrText xml:space="preserve"> PAGEREF _Toc93410033 \h </w:instrText>
          </w:r>
          <w:r>
            <w:fldChar w:fldCharType="separate"/>
          </w:r>
          <w:r>
            <w:t>87</w:t>
          </w:r>
          <w:r>
            <w:fldChar w:fldCharType="end"/>
          </w:r>
          <w:r>
            <w:fldChar w:fldCharType="end"/>
          </w:r>
        </w:p>
        <w:p>
          <w:pPr>
            <w:pStyle w:val="18"/>
            <w:spacing w:line="580" w:lineRule="exact"/>
            <w:rPr>
              <w:rFonts w:eastAsiaTheme="minorEastAsia"/>
              <w:b w:val="0"/>
              <w:bCs w:val="0"/>
              <w:kern w:val="2"/>
            </w:rPr>
          </w:pPr>
          <w:r>
            <w:fldChar w:fldCharType="begin"/>
          </w:r>
          <w:r>
            <w:instrText xml:space="preserve"> HYPERLINK \l "_Toc93410034" </w:instrText>
          </w:r>
          <w:r>
            <w:fldChar w:fldCharType="separate"/>
          </w:r>
          <w:r>
            <w:rPr>
              <w:rStyle w:val="25"/>
            </w:rPr>
            <w:t>（五）强化人才保障</w:t>
          </w:r>
          <w:r>
            <w:tab/>
          </w:r>
          <w:r>
            <w:fldChar w:fldCharType="begin"/>
          </w:r>
          <w:r>
            <w:instrText xml:space="preserve"> PAGEREF _Toc93410034 \h </w:instrText>
          </w:r>
          <w:r>
            <w:fldChar w:fldCharType="separate"/>
          </w:r>
          <w:r>
            <w:t>87</w:t>
          </w:r>
          <w:r>
            <w:fldChar w:fldCharType="end"/>
          </w:r>
          <w:r>
            <w:fldChar w:fldCharType="end"/>
          </w:r>
        </w:p>
        <w:p>
          <w:pPr>
            <w:pStyle w:val="18"/>
            <w:spacing w:line="580" w:lineRule="exact"/>
            <w:rPr>
              <w:rFonts w:eastAsiaTheme="minorEastAsia"/>
              <w:b w:val="0"/>
              <w:bCs w:val="0"/>
              <w:kern w:val="2"/>
            </w:rPr>
          </w:pPr>
          <w:r>
            <w:fldChar w:fldCharType="begin"/>
          </w:r>
          <w:r>
            <w:instrText xml:space="preserve"> HYPERLINK \l "_Toc93410035" </w:instrText>
          </w:r>
          <w:r>
            <w:fldChar w:fldCharType="separate"/>
          </w:r>
          <w:r>
            <w:rPr>
              <w:rStyle w:val="25"/>
            </w:rPr>
            <w:t>（六）加大宣传推介</w:t>
          </w:r>
          <w:r>
            <w:tab/>
          </w:r>
          <w:r>
            <w:fldChar w:fldCharType="begin"/>
          </w:r>
          <w:r>
            <w:instrText xml:space="preserve"> PAGEREF _Toc93410035 \h </w:instrText>
          </w:r>
          <w:r>
            <w:fldChar w:fldCharType="separate"/>
          </w:r>
          <w:r>
            <w:t>88</w:t>
          </w:r>
          <w:r>
            <w:fldChar w:fldCharType="end"/>
          </w:r>
          <w:r>
            <w:fldChar w:fldCharType="end"/>
          </w:r>
        </w:p>
        <w:p>
          <w:pPr>
            <w:pStyle w:val="18"/>
            <w:spacing w:line="580" w:lineRule="exact"/>
            <w:rPr>
              <w:rFonts w:eastAsiaTheme="minorEastAsia"/>
              <w:b w:val="0"/>
              <w:bCs w:val="0"/>
              <w:kern w:val="2"/>
            </w:rPr>
          </w:pPr>
          <w:r>
            <w:fldChar w:fldCharType="begin"/>
          </w:r>
          <w:r>
            <w:instrText xml:space="preserve"> HYPERLINK \l "_Toc93410036" </w:instrText>
          </w:r>
          <w:r>
            <w:fldChar w:fldCharType="separate"/>
          </w:r>
          <w:r>
            <w:rPr>
              <w:rStyle w:val="25"/>
            </w:rPr>
            <w:t>（七）优化营商环境</w:t>
          </w:r>
          <w:r>
            <w:tab/>
          </w:r>
          <w:r>
            <w:fldChar w:fldCharType="begin"/>
          </w:r>
          <w:r>
            <w:instrText xml:space="preserve"> PAGEREF _Toc93410036 \h </w:instrText>
          </w:r>
          <w:r>
            <w:fldChar w:fldCharType="separate"/>
          </w:r>
          <w:r>
            <w:t>88</w:t>
          </w:r>
          <w:r>
            <w:fldChar w:fldCharType="end"/>
          </w:r>
          <w:r>
            <w:fldChar w:fldCharType="end"/>
          </w:r>
        </w:p>
        <w:p>
          <w:pPr>
            <w:pStyle w:val="18"/>
            <w:spacing w:line="580" w:lineRule="exact"/>
            <w:rPr>
              <w:rFonts w:eastAsiaTheme="minorEastAsia"/>
              <w:b w:val="0"/>
              <w:bCs w:val="0"/>
              <w:kern w:val="2"/>
            </w:rPr>
          </w:pPr>
          <w:r>
            <w:fldChar w:fldCharType="begin"/>
          </w:r>
          <w:r>
            <w:instrText xml:space="preserve"> HYPERLINK \l "_Toc93410037" </w:instrText>
          </w:r>
          <w:r>
            <w:fldChar w:fldCharType="separate"/>
          </w:r>
          <w:r>
            <w:rPr>
              <w:rStyle w:val="25"/>
            </w:rPr>
            <w:t>（八）加强监测评估</w:t>
          </w:r>
          <w:r>
            <w:tab/>
          </w:r>
          <w:r>
            <w:fldChar w:fldCharType="begin"/>
          </w:r>
          <w:r>
            <w:instrText xml:space="preserve"> PAGEREF _Toc93410037 \h </w:instrText>
          </w:r>
          <w:r>
            <w:fldChar w:fldCharType="separate"/>
          </w:r>
          <w:r>
            <w:t>89</w:t>
          </w:r>
          <w:r>
            <w:fldChar w:fldCharType="end"/>
          </w:r>
          <w:r>
            <w:fldChar w:fldCharType="end"/>
          </w:r>
        </w:p>
        <w:p>
          <w:pPr>
            <w:spacing w:line="580" w:lineRule="exact"/>
            <w:rPr>
              <w:color w:val="000000" w:themeColor="text1"/>
            </w:rPr>
          </w:pPr>
          <w:r>
            <w:rPr>
              <w:b/>
              <w:bCs/>
              <w:color w:val="000000" w:themeColor="text1"/>
              <w:sz w:val="32"/>
              <w:szCs w:val="32"/>
              <w:lang w:val="zh-CN"/>
            </w:rPr>
            <w:fldChar w:fldCharType="end"/>
          </w:r>
        </w:p>
      </w:sdtContent>
    </w:sdt>
    <w:p>
      <w:pPr>
        <w:pStyle w:val="44"/>
        <w:rPr>
          <w:color w:val="000000" w:themeColor="text1"/>
        </w:rPr>
      </w:pPr>
    </w:p>
    <w:p>
      <w:pPr>
        <w:pStyle w:val="44"/>
        <w:rPr>
          <w:color w:val="000000" w:themeColor="text1"/>
        </w:rPr>
        <w:sectPr>
          <w:footnotePr>
            <w:numFmt w:val="chicago"/>
          </w:footnotePr>
          <w:type w:val="continuous"/>
          <w:pgSz w:w="11906" w:h="16838"/>
          <w:pgMar w:top="1440" w:right="1800" w:bottom="1440" w:left="1800" w:header="851" w:footer="992" w:gutter="0"/>
          <w:pgNumType w:fmt="upperRoman" w:start="1"/>
          <w:cols w:space="425" w:num="1"/>
          <w:docGrid w:type="lines" w:linePitch="312" w:charSpace="0"/>
        </w:sectPr>
      </w:pPr>
    </w:p>
    <w:p>
      <w:pPr>
        <w:pStyle w:val="4"/>
        <w:keepNext w:val="0"/>
        <w:keepLines w:val="0"/>
        <w:adjustRightInd w:val="0"/>
        <w:snapToGrid w:val="0"/>
        <w:spacing w:before="0" w:after="0" w:line="600" w:lineRule="exact"/>
        <w:ind w:firstLine="720"/>
        <w:jc w:val="both"/>
        <w:rPr>
          <w:rFonts w:ascii="Times New Roman" w:hAnsi="Times New Roman" w:eastAsia="方正黑体_GBK" w:cs="方正黑体_GBK"/>
          <w:b w:val="0"/>
          <w:color w:val="000000" w:themeColor="text1"/>
          <w:kern w:val="21"/>
          <w:szCs w:val="36"/>
        </w:rPr>
      </w:pPr>
      <w:bookmarkStart w:id="7" w:name="_Toc93409971"/>
      <w:r>
        <w:rPr>
          <w:rFonts w:hint="eastAsia" w:ascii="Times New Roman" w:hAnsi="Times New Roman" w:eastAsia="方正黑体_GBK" w:cs="方正黑体_GBK"/>
          <w:b w:val="0"/>
          <w:color w:val="000000" w:themeColor="text1"/>
          <w:kern w:val="21"/>
          <w:szCs w:val="36"/>
        </w:rPr>
        <w:t>一、</w:t>
      </w:r>
      <w:r>
        <w:rPr>
          <w:rFonts w:ascii="Times New Roman" w:hAnsi="Times New Roman" w:eastAsia="方正黑体_GBK" w:cs="方正黑体_GBK"/>
          <w:b w:val="0"/>
          <w:color w:val="000000" w:themeColor="text1"/>
          <w:kern w:val="21"/>
          <w:szCs w:val="36"/>
        </w:rPr>
        <w:t>发展</w:t>
      </w:r>
      <w:r>
        <w:rPr>
          <w:rFonts w:hint="eastAsia" w:ascii="Times New Roman" w:hAnsi="Times New Roman" w:eastAsia="方正黑体_GBK" w:cs="方正黑体_GBK"/>
          <w:b w:val="0"/>
          <w:color w:val="000000" w:themeColor="text1"/>
          <w:kern w:val="21"/>
          <w:szCs w:val="36"/>
        </w:rPr>
        <w:t>现状与面临形势</w:t>
      </w:r>
      <w:bookmarkEnd w:id="7"/>
    </w:p>
    <w:p>
      <w:pPr>
        <w:pStyle w:val="5"/>
        <w:keepNext w:val="0"/>
        <w:keepLines w:val="0"/>
        <w:adjustRightInd w:val="0"/>
        <w:snapToGrid w:val="0"/>
        <w:spacing w:before="0" w:after="0" w:line="600" w:lineRule="exact"/>
        <w:ind w:firstLine="643"/>
        <w:jc w:val="both"/>
        <w:rPr>
          <w:rFonts w:ascii="楷体_GB2312" w:hAnsi="楷体_GB2312" w:cs="方正楷体_GBK"/>
          <w:bCs w:val="0"/>
          <w:color w:val="000000" w:themeColor="text1"/>
          <w:kern w:val="21"/>
        </w:rPr>
      </w:pPr>
      <w:bookmarkStart w:id="8" w:name="_Toc93409972"/>
      <w:r>
        <w:rPr>
          <w:rFonts w:hint="eastAsia" w:ascii="楷体_GB2312" w:hAnsi="楷体_GB2312" w:cs="方正楷体_GBK"/>
          <w:bCs w:val="0"/>
          <w:color w:val="000000" w:themeColor="text1"/>
          <w:kern w:val="21"/>
        </w:rPr>
        <w:t>（一）发展基础</w:t>
      </w:r>
      <w:bookmarkEnd w:id="8"/>
    </w:p>
    <w:p>
      <w:pPr>
        <w:widowControl/>
        <w:spacing w:line="600" w:lineRule="exact"/>
        <w:ind w:firstLine="643" w:firstLineChars="200"/>
        <w:rPr>
          <w:rFonts w:ascii="仿宋_GB2312" w:eastAsia="仿宋_GB2312"/>
          <w:color w:val="000000" w:themeColor="text1"/>
          <w:sz w:val="32"/>
          <w:szCs w:val="32"/>
        </w:rPr>
      </w:pPr>
      <w:r>
        <w:rPr>
          <w:rFonts w:hint="eastAsia" w:ascii="楷体_GB2312" w:hAnsi="楷体_GB2312" w:eastAsia="楷体_GB2312"/>
          <w:b/>
          <w:bCs/>
          <w:color w:val="000000" w:themeColor="text1"/>
          <w:sz w:val="32"/>
          <w:szCs w:val="32"/>
        </w:rPr>
        <w:t>数字基础设施统筹整合。</w:t>
      </w:r>
      <w:r>
        <w:rPr>
          <w:rFonts w:hint="eastAsia" w:ascii="仿宋_GB2312" w:eastAsia="仿宋_GB2312"/>
          <w:color w:val="000000" w:themeColor="text1"/>
          <w:sz w:val="32"/>
          <w:szCs w:val="32"/>
        </w:rPr>
        <w:t>“十三五”期间，玉林市通信基础设施持续完善，</w:t>
      </w:r>
      <w:r>
        <w:rPr>
          <w:rFonts w:eastAsia="仿宋_GB2312"/>
          <w:color w:val="000000" w:themeColor="text1"/>
          <w:sz w:val="32"/>
          <w:szCs w:val="32"/>
        </w:rPr>
        <w:t>全市累计开通5G基站2350座，截止2021年6月，已建成移动通信基站</w:t>
      </w:r>
      <w:r>
        <w:rPr>
          <w:rFonts w:hint="eastAsia" w:eastAsia="仿宋_GB2312"/>
          <w:color w:val="000000" w:themeColor="text1"/>
          <w:sz w:val="32"/>
          <w:szCs w:val="32"/>
        </w:rPr>
        <w:t>2</w:t>
      </w:r>
      <w:r>
        <w:rPr>
          <w:rFonts w:eastAsia="仿宋_GB2312"/>
          <w:color w:val="000000" w:themeColor="text1"/>
          <w:sz w:val="32"/>
          <w:szCs w:val="32"/>
        </w:rPr>
        <w:t>4175个，实现城区、县（市）重点区域5G信号覆盖和99%的自然村4G网络全覆盖及99%的自然村宽带光纤接入，信号覆盖进一步往自然村延伸。新型基础设施建设全面提速，截止2020年底</w:t>
      </w:r>
      <w:r>
        <w:rPr>
          <w:rFonts w:hint="eastAsia" w:ascii="仿宋_GB2312" w:eastAsia="仿宋_GB2312"/>
          <w:color w:val="000000" w:themeColor="text1"/>
          <w:sz w:val="32"/>
          <w:szCs w:val="32"/>
        </w:rPr>
        <w:t>，玉林市纳入自治区“信息网”的项目已开</w:t>
      </w:r>
      <w:r>
        <w:rPr>
          <w:rFonts w:eastAsia="仿宋_GB2312"/>
          <w:color w:val="000000" w:themeColor="text1"/>
          <w:sz w:val="32"/>
          <w:szCs w:val="32"/>
        </w:rPr>
        <w:t>工12项，开工率达100%，</w:t>
      </w:r>
      <w:r>
        <w:rPr>
          <w:rFonts w:hint="eastAsia" w:ascii="仿宋_GB2312" w:eastAsia="仿宋_GB2312"/>
          <w:color w:val="000000" w:themeColor="text1"/>
          <w:sz w:val="32"/>
          <w:szCs w:val="32"/>
        </w:rPr>
        <w:t>累计完成投</w:t>
      </w:r>
      <w:r>
        <w:rPr>
          <w:rFonts w:eastAsia="仿宋_GB2312"/>
          <w:color w:val="000000" w:themeColor="text1"/>
          <w:sz w:val="32"/>
          <w:szCs w:val="32"/>
        </w:rPr>
        <w:t>资4.13亿元，年度投资完成率为127.6%；</w:t>
      </w:r>
      <w:r>
        <w:rPr>
          <w:rFonts w:hint="eastAsia" w:ascii="仿宋_GB2312" w:eastAsia="仿宋_GB2312"/>
          <w:color w:val="000000" w:themeColor="text1"/>
          <w:sz w:val="32"/>
          <w:szCs w:val="32"/>
        </w:rPr>
        <w:t>市“信息网”项目已</w:t>
      </w:r>
      <w:r>
        <w:rPr>
          <w:rFonts w:eastAsia="仿宋_GB2312"/>
          <w:color w:val="000000" w:themeColor="text1"/>
          <w:sz w:val="32"/>
          <w:szCs w:val="32"/>
        </w:rPr>
        <w:t>开工43项，累计完成投资12.37亿</w:t>
      </w:r>
      <w:r>
        <w:rPr>
          <w:rFonts w:hint="eastAsia" w:ascii="仿宋_GB2312" w:eastAsia="仿宋_GB2312"/>
          <w:color w:val="000000" w:themeColor="text1"/>
          <w:sz w:val="32"/>
          <w:szCs w:val="32"/>
        </w:rPr>
        <w:t>元，超额完成《玉林市贯彻落实自治区“六大会战”的若干措施》中“信息网”投资</w:t>
      </w:r>
      <w:r>
        <w:rPr>
          <w:rFonts w:eastAsia="仿宋_GB2312"/>
          <w:color w:val="000000" w:themeColor="text1"/>
          <w:sz w:val="32"/>
          <w:szCs w:val="32"/>
        </w:rPr>
        <w:t>10亿元的目标，目标完成率达123.7%。</w:t>
      </w:r>
    </w:p>
    <w:p>
      <w:pPr>
        <w:widowControl/>
        <w:spacing w:line="600" w:lineRule="exact"/>
        <w:ind w:firstLine="643" w:firstLineChars="200"/>
        <w:rPr>
          <w:rFonts w:ascii="仿宋_GB2312" w:eastAsia="仿宋_GB2312"/>
          <w:color w:val="000000" w:themeColor="text1"/>
          <w:sz w:val="32"/>
          <w:szCs w:val="32"/>
        </w:rPr>
      </w:pPr>
      <w:r>
        <w:rPr>
          <w:rFonts w:hint="eastAsia" w:ascii="楷体_GB2312" w:hAnsi="楷体_GB2312" w:eastAsia="楷体_GB2312"/>
          <w:b/>
          <w:bCs/>
          <w:color w:val="000000" w:themeColor="text1"/>
          <w:sz w:val="32"/>
          <w:szCs w:val="32"/>
        </w:rPr>
        <w:t>数字产业蓬勃发展。</w:t>
      </w:r>
      <w:r>
        <w:rPr>
          <w:rFonts w:hint="eastAsia" w:ascii="仿宋_GB2312" w:eastAsia="仿宋_GB2312"/>
          <w:color w:val="000000" w:themeColor="text1"/>
          <w:sz w:val="32"/>
          <w:szCs w:val="32"/>
        </w:rPr>
        <w:t>“十三五”期间，玉林市全方位服务企业，激发数字经济企业内生动力，推动数字经济提速增效。互联网、大数据赋能农业快速发展，兴业县现代特色农业示范区依托兴业县现代智慧农业信息平台建成广西首个智慧农业园区</w:t>
      </w:r>
      <w:r>
        <w:rPr>
          <w:rFonts w:eastAsia="仿宋_GB2312"/>
          <w:color w:val="000000" w:themeColor="text1"/>
          <w:sz w:val="32"/>
          <w:szCs w:val="32"/>
        </w:rPr>
        <w:t>。电子商务蓬勃发展，通</w:t>
      </w:r>
      <w:r>
        <w:rPr>
          <w:rFonts w:hint="eastAsia" w:ascii="仿宋_GB2312" w:eastAsia="仿宋_GB2312"/>
          <w:color w:val="000000" w:themeColor="text1"/>
          <w:sz w:val="32"/>
          <w:szCs w:val="32"/>
        </w:rPr>
        <w:t>过引进瞳桦电商直播基地项目、亚视乡村振兴电商直播基地项目、启点电商直播基地项目，利用“网红聚集效应”，助力玉林“电商直播经济”高质量发展</w:t>
      </w:r>
      <w:r>
        <w:rPr>
          <w:rFonts w:eastAsia="仿宋_GB2312"/>
          <w:color w:val="000000" w:themeColor="text1"/>
          <w:sz w:val="32"/>
          <w:szCs w:val="32"/>
        </w:rPr>
        <w:t>，2020年玉林市网络零售额达36.2亿元，实物网络零售额29.2亿元，在广西排名均为第四。大力推进智慧旅游发展。玉林市旅游应急指挥平台完成全市的4A级以上景区全部接入，共15个A级旅游景区约150</w:t>
      </w:r>
      <w:r>
        <w:rPr>
          <w:rFonts w:hint="eastAsia" w:ascii="仿宋_GB2312" w:eastAsia="仿宋_GB2312"/>
          <w:color w:val="000000" w:themeColor="text1"/>
          <w:sz w:val="32"/>
          <w:szCs w:val="32"/>
        </w:rPr>
        <w:t>路视频图像。实现了对玉林重点景区的主要景观区、景区主要出入口、主要游客集散地和主停车场等处的实时视频监控。</w:t>
      </w:r>
    </w:p>
    <w:p>
      <w:pPr>
        <w:widowControl/>
        <w:spacing w:line="600" w:lineRule="exact"/>
        <w:ind w:firstLine="643" w:firstLineChars="200"/>
        <w:rPr>
          <w:rFonts w:ascii="仿宋_GB2312" w:eastAsia="仿宋_GB2312"/>
          <w:color w:val="000000" w:themeColor="text1"/>
          <w:sz w:val="32"/>
          <w:szCs w:val="32"/>
        </w:rPr>
      </w:pPr>
      <w:r>
        <w:rPr>
          <w:rFonts w:hint="eastAsia" w:ascii="楷体_GB2312" w:hAnsi="楷体_GB2312" w:eastAsia="楷体_GB2312"/>
          <w:b/>
          <w:bCs/>
          <w:color w:val="000000" w:themeColor="text1"/>
          <w:sz w:val="32"/>
          <w:szCs w:val="40"/>
        </w:rPr>
        <w:t>数字赋能成效显著。</w:t>
      </w:r>
      <w:r>
        <w:rPr>
          <w:rFonts w:hint="eastAsia" w:ascii="仿宋_GB2312" w:eastAsia="仿宋_GB2312"/>
          <w:color w:val="000000" w:themeColor="text1"/>
          <w:sz w:val="32"/>
          <w:szCs w:val="40"/>
        </w:rPr>
        <w:t>“十三五”期间，玉林市</w:t>
      </w:r>
      <w:r>
        <w:rPr>
          <w:rFonts w:hint="eastAsia" w:ascii="仿宋_GB2312" w:eastAsia="仿宋_GB2312"/>
          <w:color w:val="000000" w:themeColor="text1"/>
          <w:sz w:val="32"/>
          <w:szCs w:val="32"/>
        </w:rPr>
        <w:t>加速数字技术向产业全领域、行业全链条、企业全流程渗透，赋能传统企业变革商业模式。工业互联网、智能化改造持续推进，玉柴集团投资</w:t>
      </w:r>
      <w:r>
        <w:rPr>
          <w:rFonts w:eastAsia="仿宋_GB2312"/>
          <w:color w:val="000000" w:themeColor="text1"/>
          <w:sz w:val="32"/>
          <w:szCs w:val="32"/>
        </w:rPr>
        <w:t>6亿元</w:t>
      </w:r>
      <w:r>
        <w:rPr>
          <w:rFonts w:hint="eastAsia" w:ascii="仿宋_GB2312" w:eastAsia="仿宋_GB2312"/>
          <w:color w:val="000000" w:themeColor="text1"/>
          <w:sz w:val="32"/>
          <w:szCs w:val="32"/>
        </w:rPr>
        <w:t>着力打造玉柴智能制造工厂项目（“黑灯工厂”）和玉柴新能源汽车智能化工厂建设项目，全面拓展延伸企业业务的信息化应用，其中黑灯工厂项目计划建</w:t>
      </w:r>
      <w:r>
        <w:rPr>
          <w:rFonts w:eastAsia="仿宋_GB2312"/>
          <w:color w:val="000000" w:themeColor="text1"/>
          <w:sz w:val="32"/>
          <w:szCs w:val="32"/>
        </w:rPr>
        <w:t>设4条</w:t>
      </w:r>
      <w:r>
        <w:rPr>
          <w:rFonts w:hint="eastAsia" w:ascii="仿宋_GB2312" w:eastAsia="仿宋_GB2312"/>
          <w:color w:val="000000" w:themeColor="text1"/>
          <w:sz w:val="32"/>
          <w:szCs w:val="32"/>
        </w:rPr>
        <w:t>精加工生产线，目前项目已基本完成设备安装调试。广西玉林制药集团有限责任公司建成颗粒剂自动化生产改造项目，运用人工智能等智能生产技术，不断提高生产效率。信创产业初具规模</w:t>
      </w:r>
      <w:r>
        <w:rPr>
          <w:rFonts w:eastAsia="仿宋_GB2312"/>
          <w:color w:val="000000" w:themeColor="text1"/>
          <w:sz w:val="32"/>
          <w:szCs w:val="32"/>
        </w:rPr>
        <w:t>，2020年投资约1.5亿元</w:t>
      </w:r>
      <w:r>
        <w:rPr>
          <w:rFonts w:hint="eastAsia" w:ascii="仿宋_GB2312" w:eastAsia="仿宋_GB2312"/>
          <w:color w:val="000000" w:themeColor="text1"/>
          <w:sz w:val="32"/>
          <w:szCs w:val="32"/>
        </w:rPr>
        <w:t>的“央企入桂”同方计算机项目一期建成并正式投产，逐步涌现出以同方计算机生产基地等为代表的数字经济新业态、新模式，加速形成玉林信创产业高质量发展的新引擎。</w:t>
      </w:r>
    </w:p>
    <w:p>
      <w:pPr>
        <w:widowControl/>
        <w:spacing w:line="600" w:lineRule="exact"/>
        <w:ind w:firstLine="643" w:firstLineChars="200"/>
        <w:rPr>
          <w:rFonts w:ascii="仿宋_GB2312" w:eastAsia="仿宋_GB2312"/>
          <w:color w:val="000000" w:themeColor="text1"/>
          <w:sz w:val="32"/>
          <w:szCs w:val="32"/>
        </w:rPr>
      </w:pPr>
      <w:r>
        <w:rPr>
          <w:rFonts w:hint="eastAsia" w:ascii="楷体_GB2312" w:hAnsi="楷体_GB2312" w:eastAsia="楷体_GB2312"/>
          <w:b/>
          <w:bCs/>
          <w:color w:val="000000" w:themeColor="text1"/>
          <w:sz w:val="32"/>
          <w:szCs w:val="32"/>
        </w:rPr>
        <w:t>数字政府体系基本形成。</w:t>
      </w:r>
      <w:r>
        <w:rPr>
          <w:rFonts w:hint="eastAsia" w:ascii="仿宋_GB2312" w:eastAsia="仿宋_GB2312"/>
          <w:color w:val="000000" w:themeColor="text1"/>
          <w:sz w:val="32"/>
          <w:szCs w:val="32"/>
        </w:rPr>
        <w:t>“十三五”期间，市、县（市、区）、乡镇（街道）、村（社区）、生产组（中心户）五级政务服务体系不断完善，</w:t>
      </w:r>
      <w:r>
        <w:rPr>
          <w:rFonts w:eastAsia="仿宋_GB2312"/>
          <w:color w:val="000000" w:themeColor="text1"/>
          <w:sz w:val="32"/>
          <w:szCs w:val="32"/>
        </w:rPr>
        <w:t>全市100%乡镇（街道）、96.8%村（</w:t>
      </w:r>
      <w:r>
        <w:rPr>
          <w:rFonts w:hint="eastAsia" w:ascii="仿宋_GB2312" w:eastAsia="仿宋_GB2312"/>
          <w:color w:val="000000" w:themeColor="text1"/>
          <w:sz w:val="32"/>
          <w:szCs w:val="32"/>
        </w:rPr>
        <w:t>社区）建成政务服务中心，基层政务服务中心覆盖率全区领先。电子政务外网横向覆盖，完</w:t>
      </w:r>
      <w:r>
        <w:rPr>
          <w:rFonts w:eastAsia="仿宋_GB2312"/>
          <w:color w:val="000000" w:themeColor="text1"/>
          <w:sz w:val="32"/>
          <w:szCs w:val="32"/>
        </w:rPr>
        <w:t>成31条专网与玉林市电子政务外网互联互通，实现电子政务外网覆盖和业务承接</w:t>
      </w:r>
      <w:r>
        <w:rPr>
          <w:rFonts w:hint="eastAsia" w:ascii="仿宋_GB2312" w:eastAsia="仿宋_GB2312"/>
          <w:color w:val="000000" w:themeColor="text1"/>
          <w:sz w:val="32"/>
          <w:szCs w:val="32"/>
        </w:rPr>
        <w:t>“五</w:t>
      </w:r>
      <w:r>
        <w:rPr>
          <w:rFonts w:eastAsia="仿宋_GB2312"/>
          <w:color w:val="000000" w:themeColor="text1"/>
          <w:sz w:val="32"/>
          <w:szCs w:val="32"/>
        </w:rPr>
        <w:t>个100%</w:t>
      </w:r>
      <w:r>
        <w:rPr>
          <w:rFonts w:hint="eastAsia" w:ascii="仿宋_GB2312" w:eastAsia="仿宋_GB2312"/>
          <w:color w:val="000000" w:themeColor="text1"/>
          <w:sz w:val="32"/>
          <w:szCs w:val="32"/>
        </w:rPr>
        <w:t>”，建成广西第一朵安全自主政务云并正式启用，打造“前台综合受理、后台分类审批、统一窗口出件”的审批新模式，实现“一事跑多窗”向“一窗多办事”转变。市政府网站集约化建设工作位列全区前茅，目前正常运行的政府网站共计52家，其中玉林市人民政府门户网站位列全国市级政府门户网站</w:t>
      </w:r>
      <w:r>
        <w:rPr>
          <w:rFonts w:eastAsia="仿宋_GB2312"/>
          <w:color w:val="000000" w:themeColor="text1"/>
          <w:sz w:val="32"/>
          <w:szCs w:val="32"/>
        </w:rPr>
        <w:t>第33名，</w:t>
      </w:r>
      <w:r>
        <w:rPr>
          <w:rFonts w:hint="eastAsia" w:ascii="仿宋_GB2312" w:eastAsia="仿宋_GB2312"/>
          <w:color w:val="000000" w:themeColor="text1"/>
          <w:sz w:val="32"/>
          <w:szCs w:val="32"/>
        </w:rPr>
        <w:t>在广西地级市中排名第三，连续三年实现三连升。</w:t>
      </w:r>
    </w:p>
    <w:p>
      <w:pPr>
        <w:widowControl/>
        <w:spacing w:line="600" w:lineRule="exact"/>
        <w:ind w:firstLine="643" w:firstLineChars="200"/>
        <w:rPr>
          <w:rFonts w:ascii="仿宋_GB2312" w:eastAsia="仿宋_GB2312"/>
          <w:color w:val="000000" w:themeColor="text1"/>
          <w:sz w:val="32"/>
          <w:szCs w:val="32"/>
        </w:rPr>
      </w:pPr>
      <w:r>
        <w:rPr>
          <w:rFonts w:hint="eastAsia" w:ascii="楷体_GB2312" w:hAnsi="楷体_GB2312" w:eastAsia="楷体_GB2312"/>
          <w:b/>
          <w:bCs/>
          <w:color w:val="000000" w:themeColor="text1"/>
          <w:sz w:val="32"/>
          <w:szCs w:val="32"/>
        </w:rPr>
        <w:t>政务服务效能显著提升。</w:t>
      </w:r>
      <w:r>
        <w:rPr>
          <w:rFonts w:hint="eastAsia" w:ascii="仿宋_GB2312" w:eastAsia="仿宋_GB2312"/>
          <w:color w:val="000000" w:themeColor="text1"/>
          <w:sz w:val="32"/>
          <w:szCs w:val="32"/>
        </w:rPr>
        <w:t>“十三五”期间，玉林市着力打造“五个一”政务数据治理新模式。市本级政务服务中心共办结</w:t>
      </w:r>
      <w:r>
        <w:rPr>
          <w:rFonts w:eastAsia="仿宋_GB2312"/>
          <w:color w:val="000000" w:themeColor="text1"/>
          <w:sz w:val="32"/>
          <w:szCs w:val="32"/>
        </w:rPr>
        <w:t>事项1832858件，承诺提速67.95%</w:t>
      </w:r>
      <w:r>
        <w:rPr>
          <w:rFonts w:hint="eastAsia" w:eastAsia="仿宋_GB2312"/>
          <w:color w:val="000000" w:themeColor="text1"/>
          <w:sz w:val="32"/>
          <w:szCs w:val="32"/>
        </w:rPr>
        <w:t>，</w:t>
      </w:r>
      <w:r>
        <w:rPr>
          <w:rFonts w:eastAsia="仿宋_GB2312"/>
          <w:color w:val="000000" w:themeColor="text1"/>
          <w:sz w:val="32"/>
          <w:szCs w:val="32"/>
        </w:rPr>
        <w:t>群</w:t>
      </w:r>
      <w:r>
        <w:rPr>
          <w:rFonts w:hint="eastAsia" w:ascii="仿宋_GB2312" w:eastAsia="仿宋_GB2312"/>
          <w:color w:val="000000" w:themeColor="text1"/>
          <w:sz w:val="32"/>
          <w:szCs w:val="32"/>
        </w:rPr>
        <w:t>众满意率</w:t>
      </w:r>
      <w:r>
        <w:rPr>
          <w:rFonts w:eastAsia="仿宋_GB2312"/>
          <w:color w:val="000000" w:themeColor="text1"/>
          <w:sz w:val="32"/>
          <w:szCs w:val="32"/>
        </w:rPr>
        <w:t>99.99%，</w:t>
      </w:r>
      <w:r>
        <w:rPr>
          <w:rFonts w:hint="eastAsia" w:ascii="仿宋_GB2312" w:eastAsia="仿宋_GB2312"/>
          <w:color w:val="000000" w:themeColor="text1"/>
          <w:sz w:val="32"/>
          <w:szCs w:val="32"/>
        </w:rPr>
        <w:t>“最多跑一次”事项比例达</w:t>
      </w:r>
      <w:r>
        <w:rPr>
          <w:rFonts w:eastAsia="仿宋_GB2312"/>
          <w:color w:val="000000" w:themeColor="text1"/>
          <w:sz w:val="32"/>
          <w:szCs w:val="32"/>
        </w:rPr>
        <w:t>99.52%。</w:t>
      </w:r>
      <w:r>
        <w:rPr>
          <w:rFonts w:hint="eastAsia" w:ascii="仿宋_GB2312" w:eastAsia="仿宋_GB2312"/>
          <w:color w:val="000000" w:themeColor="text1"/>
          <w:sz w:val="32"/>
          <w:szCs w:val="32"/>
        </w:rPr>
        <w:t>深入推广“互联网+政务服务”，网上中介服务超市入驻中介机构120家，上线交易</w:t>
      </w:r>
      <w:r>
        <w:rPr>
          <w:rFonts w:eastAsia="仿宋_GB2312"/>
          <w:color w:val="000000" w:themeColor="text1"/>
          <w:sz w:val="32"/>
          <w:szCs w:val="32"/>
        </w:rPr>
        <w:t>项目492个，成交额1298.92万元</w:t>
      </w:r>
      <w:r>
        <w:rPr>
          <w:rFonts w:hint="eastAsia" w:ascii="仿宋_GB2312" w:eastAsia="仿宋_GB2312"/>
          <w:color w:val="000000" w:themeColor="text1"/>
          <w:sz w:val="32"/>
          <w:szCs w:val="32"/>
        </w:rPr>
        <w:t>；全面完成市、县两级政府部门权力清单工作，梳理出行政权</w:t>
      </w:r>
      <w:r>
        <w:rPr>
          <w:rFonts w:eastAsia="仿宋_GB2312"/>
          <w:color w:val="000000" w:themeColor="text1"/>
          <w:sz w:val="32"/>
          <w:szCs w:val="32"/>
        </w:rPr>
        <w:t>力事项5500项</w:t>
      </w:r>
      <w:r>
        <w:rPr>
          <w:rFonts w:hint="eastAsia" w:ascii="仿宋_GB2312" w:eastAsia="仿宋_GB2312"/>
          <w:color w:val="000000" w:themeColor="text1"/>
          <w:sz w:val="32"/>
          <w:szCs w:val="32"/>
        </w:rPr>
        <w:t>，精简权力事项比例</w:t>
      </w:r>
      <w:r>
        <w:rPr>
          <w:rFonts w:eastAsia="仿宋_GB2312"/>
          <w:color w:val="000000" w:themeColor="text1"/>
          <w:sz w:val="32"/>
          <w:szCs w:val="32"/>
        </w:rPr>
        <w:t>达47%。</w:t>
      </w:r>
      <w:r>
        <w:rPr>
          <w:rFonts w:hint="eastAsia" w:ascii="仿宋_GB2312" w:eastAsia="仿宋_GB2312"/>
          <w:color w:val="000000" w:themeColor="text1"/>
          <w:sz w:val="32"/>
          <w:szCs w:val="32"/>
        </w:rPr>
        <w:t>全面应用广西“互联网+监管”平台强化监管。</w:t>
      </w:r>
      <w:bookmarkStart w:id="107" w:name="_GoBack"/>
      <w:bookmarkEnd w:id="107"/>
      <w:r>
        <w:rPr>
          <w:rFonts w:hint="eastAsia" w:ascii="仿宋_GB2312" w:eastAsia="仿宋_GB2312"/>
          <w:color w:val="000000" w:themeColor="text1"/>
          <w:sz w:val="32"/>
          <w:szCs w:val="32"/>
          <w:lang w:eastAsia="zh-CN"/>
        </w:rPr>
        <w:t>“双随机、一公开”</w:t>
      </w:r>
      <w:r>
        <w:rPr>
          <w:rFonts w:hint="eastAsia" w:ascii="仿宋_GB2312" w:eastAsia="仿宋_GB2312"/>
          <w:color w:val="000000" w:themeColor="text1"/>
          <w:sz w:val="32"/>
          <w:szCs w:val="32"/>
        </w:rPr>
        <w:t>对事项的覆</w:t>
      </w:r>
      <w:r>
        <w:rPr>
          <w:rFonts w:eastAsia="仿宋_GB2312"/>
          <w:color w:val="000000" w:themeColor="text1"/>
          <w:sz w:val="32"/>
          <w:szCs w:val="32"/>
        </w:rPr>
        <w:t>盖率为81.44%</w:t>
      </w:r>
      <w:r>
        <w:rPr>
          <w:rFonts w:hint="eastAsia" w:ascii="仿宋_GB2312" w:eastAsia="仿宋_GB2312"/>
          <w:color w:val="000000" w:themeColor="text1"/>
          <w:sz w:val="32"/>
          <w:szCs w:val="32"/>
        </w:rPr>
        <w:t>，联合监管对事项的覆盖</w:t>
      </w:r>
      <w:r>
        <w:rPr>
          <w:rFonts w:eastAsia="仿宋_GB2312"/>
          <w:color w:val="000000" w:themeColor="text1"/>
          <w:sz w:val="32"/>
          <w:szCs w:val="32"/>
        </w:rPr>
        <w:t>率为74.57%。政</w:t>
      </w:r>
      <w:r>
        <w:rPr>
          <w:rFonts w:hint="eastAsia" w:ascii="仿宋_GB2312" w:eastAsia="仿宋_GB2312"/>
          <w:color w:val="000000" w:themeColor="text1"/>
          <w:sz w:val="32"/>
          <w:szCs w:val="32"/>
        </w:rPr>
        <w:t>务服务异地办理不断拓展，实</w:t>
      </w:r>
      <w:r>
        <w:rPr>
          <w:rFonts w:eastAsia="仿宋_GB2312"/>
          <w:color w:val="000000" w:themeColor="text1"/>
          <w:sz w:val="32"/>
          <w:szCs w:val="32"/>
        </w:rPr>
        <w:t>现287项</w:t>
      </w:r>
      <w:r>
        <w:rPr>
          <w:rFonts w:hint="eastAsia" w:ascii="仿宋_GB2312" w:eastAsia="仿宋_GB2312"/>
          <w:color w:val="000000" w:themeColor="text1"/>
          <w:sz w:val="32"/>
          <w:szCs w:val="32"/>
        </w:rPr>
        <w:t>全区政务服务事项“同城通办”，多个领域</w:t>
      </w:r>
      <w:r>
        <w:rPr>
          <w:rFonts w:eastAsia="仿宋_GB2312"/>
          <w:color w:val="000000" w:themeColor="text1"/>
          <w:sz w:val="32"/>
          <w:szCs w:val="32"/>
        </w:rPr>
        <w:t>共205项</w:t>
      </w:r>
      <w:r>
        <w:rPr>
          <w:rFonts w:hint="eastAsia" w:ascii="仿宋_GB2312" w:eastAsia="仿宋_GB2312"/>
          <w:color w:val="000000" w:themeColor="text1"/>
          <w:sz w:val="32"/>
          <w:szCs w:val="32"/>
        </w:rPr>
        <w:t>事项与广东茂名、湛江、湖北省孝感以及福建省厦门“跨省通办”。</w:t>
      </w:r>
    </w:p>
    <w:p>
      <w:pPr>
        <w:widowControl/>
        <w:spacing w:line="600" w:lineRule="exact"/>
        <w:ind w:firstLine="643" w:firstLineChars="200"/>
        <w:rPr>
          <w:rFonts w:ascii="仿宋_GB2312" w:eastAsia="仿宋_GB2312"/>
          <w:color w:val="000000" w:themeColor="text1"/>
          <w:sz w:val="32"/>
          <w:szCs w:val="32"/>
        </w:rPr>
      </w:pPr>
      <w:r>
        <w:rPr>
          <w:rFonts w:hint="eastAsia" w:ascii="楷体_GB2312" w:hAnsi="楷体_GB2312" w:eastAsia="楷体_GB2312"/>
          <w:b/>
          <w:bCs/>
          <w:color w:val="000000" w:themeColor="text1"/>
          <w:sz w:val="32"/>
          <w:szCs w:val="32"/>
        </w:rPr>
        <w:t>数字社会构架逐步完善。</w:t>
      </w:r>
      <w:r>
        <w:rPr>
          <w:rFonts w:hint="eastAsia" w:ascii="仿宋_GB2312" w:eastAsia="仿宋_GB2312"/>
          <w:color w:val="000000" w:themeColor="text1"/>
          <w:sz w:val="32"/>
          <w:szCs w:val="32"/>
        </w:rPr>
        <w:t>“十三五”期间，玉林市面向公共服务和社会治理加速推进数字化改革，着力打造数字社会提升群众幸福感。数字医疗加速推广，全市已安装玉林市全民健康信息平台医疗机构</w:t>
      </w:r>
      <w:r>
        <w:rPr>
          <w:rFonts w:eastAsia="仿宋_GB2312"/>
          <w:color w:val="000000" w:themeColor="text1"/>
          <w:sz w:val="32"/>
          <w:szCs w:val="32"/>
        </w:rPr>
        <w:t>达164家，开通率90.71%，切实解决群众就医信息不连通</w:t>
      </w:r>
      <w:r>
        <w:rPr>
          <w:rFonts w:hint="eastAsia" w:ascii="仿宋_GB2312" w:eastAsia="仿宋_GB2312"/>
          <w:color w:val="000000" w:themeColor="text1"/>
          <w:sz w:val="32"/>
          <w:szCs w:val="32"/>
        </w:rPr>
        <w:t>等问题。教育信息化建设成效显著，全市中小学校宽带网络</w:t>
      </w:r>
      <w:r>
        <w:rPr>
          <w:rFonts w:eastAsia="仿宋_GB2312"/>
          <w:color w:val="000000" w:themeColor="text1"/>
          <w:sz w:val="32"/>
          <w:szCs w:val="32"/>
        </w:rPr>
        <w:t>接入率100%，智</w:t>
      </w:r>
      <w:r>
        <w:rPr>
          <w:rFonts w:hint="eastAsia" w:ascii="仿宋_GB2312" w:eastAsia="仿宋_GB2312"/>
          <w:color w:val="000000" w:themeColor="text1"/>
          <w:sz w:val="32"/>
          <w:szCs w:val="32"/>
        </w:rPr>
        <w:t>慧校园日臻完善。数字信用建设初具规模</w:t>
      </w:r>
      <w:r>
        <w:rPr>
          <w:rFonts w:eastAsia="仿宋_GB2312"/>
          <w:color w:val="000000" w:themeColor="text1"/>
          <w:sz w:val="32"/>
          <w:szCs w:val="32"/>
        </w:rPr>
        <w:t>，截止2021年</w:t>
      </w:r>
      <w:r>
        <w:rPr>
          <w:rFonts w:hint="eastAsia" w:ascii="仿宋_GB2312" w:eastAsia="仿宋_GB2312"/>
          <w:color w:val="000000" w:themeColor="text1"/>
          <w:sz w:val="32"/>
          <w:szCs w:val="32"/>
        </w:rPr>
        <w:t>第三季度，玉林市公共信用信息平台已归集信</w:t>
      </w:r>
      <w:r>
        <w:rPr>
          <w:rFonts w:eastAsia="仿宋_GB2312"/>
          <w:color w:val="000000" w:themeColor="text1"/>
          <w:sz w:val="32"/>
          <w:szCs w:val="32"/>
        </w:rPr>
        <w:t>用数据126万条</w:t>
      </w:r>
      <w:r>
        <w:rPr>
          <w:rFonts w:hint="eastAsia" w:ascii="仿宋_GB2312" w:eastAsia="仿宋_GB2312"/>
          <w:color w:val="000000" w:themeColor="text1"/>
          <w:sz w:val="32"/>
          <w:szCs w:val="32"/>
        </w:rPr>
        <w:t>，公示行政许可、行政处罚信息</w:t>
      </w:r>
      <w:r>
        <w:rPr>
          <w:rFonts w:eastAsia="仿宋_GB2312"/>
          <w:color w:val="000000" w:themeColor="text1"/>
          <w:sz w:val="32"/>
          <w:szCs w:val="32"/>
        </w:rPr>
        <w:t>共46万</w:t>
      </w:r>
      <w:r>
        <w:rPr>
          <w:rFonts w:hint="eastAsia" w:ascii="仿宋_GB2312" w:eastAsia="仿宋_GB2312"/>
          <w:color w:val="000000" w:themeColor="text1"/>
          <w:sz w:val="32"/>
          <w:szCs w:val="32"/>
        </w:rPr>
        <w:t>条，全国地级市信用状况监测年度综合评价中位列全区第二位。打造“爱玉林”</w:t>
      </w:r>
      <w:r>
        <w:rPr>
          <w:rFonts w:eastAsia="仿宋_GB2312"/>
          <w:color w:val="000000" w:themeColor="text1"/>
          <w:sz w:val="32"/>
          <w:szCs w:val="32"/>
        </w:rPr>
        <w:t>APP作</w:t>
      </w:r>
      <w:r>
        <w:rPr>
          <w:rFonts w:hint="eastAsia" w:ascii="仿宋_GB2312" w:eastAsia="仿宋_GB2312"/>
          <w:color w:val="000000" w:themeColor="text1"/>
          <w:sz w:val="32"/>
          <w:szCs w:val="32"/>
        </w:rPr>
        <w:t>为玉林市为民办事及服务事项汇集到统一的便捷入口，截至目前注册用户</w:t>
      </w:r>
      <w:r>
        <w:rPr>
          <w:rFonts w:eastAsia="仿宋_GB2312"/>
          <w:color w:val="000000" w:themeColor="text1"/>
          <w:sz w:val="32"/>
          <w:szCs w:val="32"/>
        </w:rPr>
        <w:t>累计95587人</w:t>
      </w:r>
      <w:r>
        <w:rPr>
          <w:rFonts w:hint="eastAsia" w:ascii="仿宋_GB2312" w:eastAsia="仿宋_GB2312"/>
          <w:color w:val="000000" w:themeColor="text1"/>
          <w:sz w:val="32"/>
          <w:szCs w:val="32"/>
        </w:rPr>
        <w:t>，已实现对接“爱广西”</w:t>
      </w:r>
      <w:r>
        <w:rPr>
          <w:rFonts w:eastAsia="仿宋_GB2312"/>
          <w:color w:val="000000" w:themeColor="text1"/>
          <w:sz w:val="32"/>
          <w:szCs w:val="32"/>
        </w:rPr>
        <w:t>APP，</w:t>
      </w:r>
      <w:r>
        <w:rPr>
          <w:rFonts w:hint="eastAsia" w:ascii="仿宋_GB2312" w:eastAsia="仿宋_GB2312"/>
          <w:color w:val="000000" w:themeColor="text1"/>
          <w:sz w:val="32"/>
          <w:szCs w:val="32"/>
        </w:rPr>
        <w:t>实现政务服务“一事通办”，为市民提供交通出行、城市生活、卫生医疗、政务服务等各个领域的一站式服务窗口。</w:t>
      </w:r>
    </w:p>
    <w:p>
      <w:pPr>
        <w:widowControl/>
        <w:spacing w:line="600" w:lineRule="exact"/>
        <w:ind w:firstLine="643" w:firstLineChars="200"/>
        <w:rPr>
          <w:rFonts w:ascii="仿宋_GB2312" w:eastAsia="仿宋_GB2312"/>
          <w:color w:val="000000" w:themeColor="text1"/>
          <w:sz w:val="32"/>
          <w:szCs w:val="32"/>
        </w:rPr>
      </w:pPr>
      <w:r>
        <w:rPr>
          <w:rFonts w:hint="eastAsia" w:ascii="楷体_GB2312" w:hAnsi="楷体_GB2312" w:eastAsia="楷体_GB2312"/>
          <w:b/>
          <w:bCs/>
          <w:color w:val="000000" w:themeColor="text1"/>
          <w:sz w:val="32"/>
          <w:szCs w:val="32"/>
        </w:rPr>
        <w:t>数据支撑保障有力。</w:t>
      </w:r>
      <w:r>
        <w:rPr>
          <w:rFonts w:hint="eastAsia" w:ascii="仿宋_GB2312" w:eastAsia="仿宋_GB2312"/>
          <w:color w:val="000000" w:themeColor="text1"/>
          <w:sz w:val="32"/>
          <w:szCs w:val="32"/>
        </w:rPr>
        <w:t>“十三五”期间，玉林市在政务数据治理改革试点先行上聚焦发力，结构化数据总量显著提升，由</w:t>
      </w:r>
      <w:r>
        <w:rPr>
          <w:rFonts w:eastAsia="仿宋_GB2312"/>
          <w:color w:val="000000" w:themeColor="text1"/>
          <w:sz w:val="32"/>
          <w:szCs w:val="32"/>
        </w:rPr>
        <w:t>原来的2.8万条，增至1.1亿</w:t>
      </w:r>
      <w:r>
        <w:rPr>
          <w:rFonts w:hint="eastAsia" w:ascii="仿宋_GB2312" w:eastAsia="仿宋_GB2312"/>
          <w:color w:val="000000" w:themeColor="text1"/>
          <w:sz w:val="32"/>
          <w:szCs w:val="32"/>
        </w:rPr>
        <w:t>条，库表数据总量列在</w:t>
      </w:r>
      <w:r>
        <w:rPr>
          <w:rFonts w:eastAsia="仿宋_GB2312"/>
          <w:color w:val="000000" w:themeColor="text1"/>
          <w:sz w:val="32"/>
          <w:szCs w:val="32"/>
        </w:rPr>
        <w:t>14个设区市前列。建成</w:t>
      </w:r>
      <w:r>
        <w:rPr>
          <w:rFonts w:hint="eastAsia" w:ascii="仿宋_GB2312" w:eastAsia="仿宋_GB2312"/>
          <w:color w:val="000000" w:themeColor="text1"/>
          <w:sz w:val="32"/>
          <w:szCs w:val="32"/>
        </w:rPr>
        <w:t>并启用广西第一朵安全自主政务（鲲鹏）云，显著提升了数字化治理能力，依托玉林云计算大数据中心，打造物理分散、逻辑集中、资源共享的数据资源体系，保障数字玉林建设规范、有序进</w:t>
      </w:r>
      <w:r>
        <w:rPr>
          <w:rFonts w:eastAsia="仿宋_GB2312"/>
          <w:color w:val="000000" w:themeColor="text1"/>
          <w:sz w:val="32"/>
          <w:szCs w:val="32"/>
        </w:rPr>
        <w:t>行。2021年引进四川链向千禧科技有限公司投资约50亿元建设玉</w:t>
      </w:r>
      <w:r>
        <w:rPr>
          <w:rFonts w:hint="eastAsia" w:ascii="仿宋_GB2312" w:eastAsia="仿宋_GB2312"/>
          <w:color w:val="000000" w:themeColor="text1"/>
          <w:sz w:val="32"/>
          <w:szCs w:val="32"/>
        </w:rPr>
        <w:t>林孪生计算与大数据云服务中心项目，数据支撑硬实力迈上新台阶。</w:t>
      </w:r>
    </w:p>
    <w:p>
      <w:pPr>
        <w:widowControl/>
        <w:spacing w:line="600" w:lineRule="exact"/>
        <w:ind w:firstLine="643" w:firstLineChars="200"/>
        <w:rPr>
          <w:rFonts w:ascii="仿宋_GB2312" w:eastAsia="仿宋_GB2312"/>
          <w:color w:val="000000" w:themeColor="text1"/>
          <w:sz w:val="32"/>
          <w:szCs w:val="32"/>
        </w:rPr>
      </w:pPr>
      <w:r>
        <w:rPr>
          <w:rFonts w:hint="eastAsia" w:ascii="楷体_GB2312" w:hAnsi="楷体_GB2312" w:eastAsia="楷体_GB2312"/>
          <w:b/>
          <w:bCs/>
          <w:color w:val="000000" w:themeColor="text1"/>
          <w:sz w:val="32"/>
          <w:szCs w:val="32"/>
        </w:rPr>
        <w:t>营商环境不断优化。</w:t>
      </w:r>
      <w:r>
        <w:rPr>
          <w:rFonts w:hint="eastAsia" w:ascii="仿宋_GB2312" w:eastAsia="仿宋_GB2312"/>
          <w:color w:val="000000" w:themeColor="text1"/>
          <w:sz w:val="32"/>
          <w:szCs w:val="32"/>
        </w:rPr>
        <w:t>“十三五”期间，玉林市陆续出台《玉林市加快数字经济发展若干措施》、《玉林市深入实施大数据战略加快数字玉林建设工作方案》等鼓励数字经济核心产业和数字经济融合产业发展的若干政策，从培育数字经济市场主体、加快数字经济产业集聚发展、推动数字技术与实体经济融合发展、加快数字基础设施建设、鼓励数字经济企业技术创新、加强数字经济人才队伍建设、强化数字经济发展的用地和融资保障</w:t>
      </w:r>
      <w:r>
        <w:rPr>
          <w:rFonts w:eastAsia="仿宋_GB2312"/>
          <w:color w:val="000000" w:themeColor="text1"/>
          <w:sz w:val="32"/>
          <w:szCs w:val="32"/>
        </w:rPr>
        <w:t>等7方面提出30条贯彻</w:t>
      </w:r>
      <w:r>
        <w:rPr>
          <w:rFonts w:hint="eastAsia" w:ascii="仿宋_GB2312" w:eastAsia="仿宋_GB2312"/>
          <w:color w:val="000000" w:themeColor="text1"/>
          <w:sz w:val="32"/>
          <w:szCs w:val="32"/>
        </w:rPr>
        <w:t>落实自治区文件精神，加快玉林市数字经济发展的措施，为全市数字经济发展营造良好的政策环境。惠企服务深度不断拓展，项目审批服务加快提速，通过实施联合审批“圆桌”会议、代办服务、迁移服务、延时服务、上门服务等五项机制，进一步优化流程、压缩时限、改进服务，加快推进项目落地。“十三五”期间，共召开“圆桌”会议</w:t>
      </w:r>
      <w:r>
        <w:rPr>
          <w:rFonts w:eastAsia="仿宋_GB2312"/>
          <w:color w:val="000000" w:themeColor="text1"/>
          <w:sz w:val="32"/>
          <w:szCs w:val="32"/>
        </w:rPr>
        <w:t>192次，服务项目204</w:t>
      </w:r>
      <w:r>
        <w:rPr>
          <w:rFonts w:hint="eastAsia" w:ascii="仿宋_GB2312" w:eastAsia="仿宋_GB2312"/>
          <w:color w:val="000000" w:themeColor="text1"/>
          <w:sz w:val="32"/>
          <w:szCs w:val="32"/>
        </w:rPr>
        <w:t>个。</w:t>
      </w:r>
    </w:p>
    <w:p>
      <w:pPr>
        <w:widowControl/>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当前，玉林市经济社会发展各方面数字化转型已取得阶段性成果，但数字玉林建设仍面临一些突出问题。</w:t>
      </w:r>
    </w:p>
    <w:p>
      <w:pPr>
        <w:widowControl/>
        <w:spacing w:line="600" w:lineRule="exact"/>
        <w:ind w:firstLine="643" w:firstLineChars="200"/>
        <w:rPr>
          <w:rFonts w:ascii="仿宋_GB2312" w:eastAsia="仿宋_GB2312"/>
          <w:color w:val="000000" w:themeColor="text1"/>
          <w:sz w:val="32"/>
          <w:szCs w:val="32"/>
        </w:rPr>
      </w:pPr>
      <w:r>
        <w:rPr>
          <w:rFonts w:hint="eastAsia" w:ascii="楷体_GB2312" w:hAnsi="楷体_GB2312" w:eastAsia="楷体_GB2312"/>
          <w:b/>
          <w:bCs/>
          <w:color w:val="000000" w:themeColor="text1"/>
          <w:sz w:val="32"/>
          <w:szCs w:val="32"/>
        </w:rPr>
        <w:t>一是数字经济引领支撑作用有待增强。</w:t>
      </w:r>
      <w:r>
        <w:rPr>
          <w:rFonts w:hint="eastAsia" w:ascii="仿宋_GB2312" w:hAnsi="楷体_GB2312" w:eastAsia="仿宋_GB2312"/>
          <w:color w:val="000000" w:themeColor="text1"/>
          <w:sz w:val="32"/>
          <w:szCs w:val="32"/>
        </w:rPr>
        <w:t>核心产业基础薄弱，产业结构需升级。</w:t>
      </w:r>
      <w:r>
        <w:rPr>
          <w:rFonts w:hint="eastAsia" w:ascii="仿宋_GB2312" w:eastAsia="仿宋_GB2312"/>
          <w:color w:val="000000" w:themeColor="text1"/>
          <w:sz w:val="32"/>
          <w:szCs w:val="32"/>
        </w:rPr>
        <w:t>传统中小企业居多，数字领域掌握核心技术的头部企业较少，数字经济总体规模较小。装备制造、新材料、农产品加工、纺织服装、大健康等产业与数字技术融合不深，产业数字化任重道远。信息技术和数字经济领域人才不足，在创新、研发等环节与先发地区仍有较大差距。“专、精、特、新”单项冠军和隐形冠军企业缺乏。“软硬”产业协同创新能力仍需提高,缺少对产业有较强拉动力“芯”“端”“屏”。</w:t>
      </w:r>
    </w:p>
    <w:p>
      <w:pPr>
        <w:widowControl/>
        <w:spacing w:line="600" w:lineRule="exact"/>
        <w:ind w:firstLine="643" w:firstLineChars="200"/>
        <w:rPr>
          <w:color w:val="000000" w:themeColor="text1"/>
        </w:rPr>
      </w:pPr>
      <w:r>
        <w:rPr>
          <w:rFonts w:ascii="楷体_GB2312" w:hAnsi="楷体_GB2312" w:eastAsia="楷体_GB2312"/>
          <w:b/>
          <w:bCs/>
          <w:color w:val="000000" w:themeColor="text1"/>
          <w:kern w:val="21"/>
          <w:sz w:val="32"/>
          <w:szCs w:val="32"/>
        </w:rPr>
        <w:t>二是数字技术供给服务能力有待</w:t>
      </w:r>
      <w:r>
        <w:rPr>
          <w:rFonts w:hint="eastAsia" w:ascii="楷体_GB2312" w:hAnsi="楷体_GB2312" w:eastAsia="楷体_GB2312"/>
          <w:b/>
          <w:bCs/>
          <w:color w:val="000000" w:themeColor="text1"/>
          <w:kern w:val="21"/>
          <w:sz w:val="32"/>
          <w:szCs w:val="32"/>
        </w:rPr>
        <w:t>提升</w:t>
      </w:r>
      <w:r>
        <w:rPr>
          <w:rFonts w:ascii="楷体_GB2312" w:hAnsi="楷体_GB2312" w:eastAsia="楷体_GB2312"/>
          <w:b/>
          <w:bCs/>
          <w:color w:val="000000" w:themeColor="text1"/>
          <w:kern w:val="21"/>
          <w:sz w:val="32"/>
          <w:szCs w:val="32"/>
        </w:rPr>
        <w:t>。</w:t>
      </w:r>
      <w:r>
        <w:rPr>
          <w:rFonts w:hint="eastAsia" w:ascii="仿宋_GB2312" w:eastAsia="仿宋_GB2312"/>
          <w:bCs/>
          <w:color w:val="000000" w:themeColor="text1"/>
          <w:kern w:val="21"/>
          <w:sz w:val="32"/>
          <w:szCs w:val="32"/>
        </w:rPr>
        <w:t>基础研究、关键技术产品研发和应用创新能力薄弱，数字技术与实体经济融合深度不够，对传统产业转型升级赋能不足。政务信息化基本以满足上级需求、采用项目驱动方式建设，分散建设较多、统筹规划水平不高；跨部门、跨层级的线上协同办公体系尚未建立，业务协同不充分，移动办公仍有较大提升空间；社会治理各领域数字化应用深度不足，缺乏综合态势分析研判、智能化的监测预警和事件的统一、智能化处置机制，尚未建成综合性、集约化的城市运营指挥中心。</w:t>
      </w:r>
    </w:p>
    <w:p>
      <w:pPr>
        <w:widowControl/>
        <w:spacing w:line="600" w:lineRule="exact"/>
        <w:ind w:firstLine="643" w:firstLineChars="200"/>
        <w:rPr>
          <w:rFonts w:ascii="仿宋_GB2312" w:eastAsia="仿宋_GB2312"/>
          <w:color w:val="000000" w:themeColor="text1"/>
          <w:sz w:val="32"/>
          <w:szCs w:val="32"/>
        </w:rPr>
      </w:pPr>
      <w:r>
        <w:rPr>
          <w:rFonts w:hint="eastAsia" w:ascii="楷体_GB2312" w:hAnsi="楷体_GB2312" w:eastAsia="楷体_GB2312"/>
          <w:b/>
          <w:bCs/>
          <w:color w:val="000000" w:themeColor="text1"/>
          <w:sz w:val="32"/>
          <w:szCs w:val="32"/>
        </w:rPr>
        <w:t>三是数字基础支撑能力有待</w:t>
      </w:r>
      <w:r>
        <w:rPr>
          <w:rFonts w:ascii="楷体_GB2312" w:hAnsi="楷体_GB2312" w:eastAsia="楷体_GB2312"/>
          <w:b/>
          <w:bCs/>
          <w:color w:val="000000" w:themeColor="text1"/>
          <w:kern w:val="21"/>
          <w:sz w:val="32"/>
          <w:szCs w:val="32"/>
        </w:rPr>
        <w:t>升级</w:t>
      </w:r>
      <w:r>
        <w:rPr>
          <w:rFonts w:hint="eastAsia" w:ascii="楷体_GB2312" w:hAnsi="楷体_GB2312" w:eastAsia="楷体_GB2312"/>
          <w:b/>
          <w:bCs/>
          <w:color w:val="000000" w:themeColor="text1"/>
          <w:sz w:val="32"/>
          <w:szCs w:val="32"/>
        </w:rPr>
        <w:t>。</w:t>
      </w:r>
      <w:r>
        <w:rPr>
          <w:rFonts w:hint="eastAsia" w:ascii="仿宋_GB2312" w:eastAsia="仿宋_GB2312"/>
          <w:color w:val="000000" w:themeColor="text1"/>
          <w:sz w:val="32"/>
          <w:szCs w:val="32"/>
        </w:rPr>
        <w:t>数据中心总体规模较小，计算能力、存储能力不够强，运行年限较长，能耗使用效率不高，</w:t>
      </w:r>
      <w:r>
        <w:rPr>
          <w:rFonts w:eastAsia="仿宋_GB2312"/>
          <w:color w:val="000000" w:themeColor="text1"/>
          <w:sz w:val="32"/>
          <w:szCs w:val="32"/>
        </w:rPr>
        <w:t>缺乏500机</w:t>
      </w:r>
      <w:r>
        <w:rPr>
          <w:rFonts w:hint="eastAsia" w:ascii="仿宋_GB2312" w:eastAsia="仿宋_GB2312"/>
          <w:color w:val="000000" w:themeColor="text1"/>
          <w:sz w:val="32"/>
          <w:szCs w:val="32"/>
        </w:rPr>
        <w:t>架以上的中大型数据中心。政务信息化基础设施集约化仍需加强，不少市直部门拥有自建机房，资源利用率不高，各单位分散运维，投入大、效益低。城市基础设施智能化改造略显滞后，物联网较大规模的应用仍局限于视频监控等领域，其他领域应用有待加强。</w:t>
      </w:r>
    </w:p>
    <w:p>
      <w:pPr>
        <w:widowControl/>
        <w:spacing w:line="600" w:lineRule="exact"/>
        <w:ind w:firstLine="643" w:firstLineChars="200"/>
        <w:rPr>
          <w:rFonts w:ascii="仿宋_GB2312" w:eastAsia="仿宋_GB2312"/>
          <w:color w:val="000000" w:themeColor="text1"/>
          <w:sz w:val="32"/>
          <w:szCs w:val="32"/>
        </w:rPr>
      </w:pPr>
      <w:r>
        <w:rPr>
          <w:rFonts w:hint="eastAsia" w:ascii="楷体_GB2312" w:hAnsi="楷体_GB2312" w:eastAsia="楷体_GB2312"/>
          <w:b/>
          <w:bCs/>
          <w:color w:val="000000" w:themeColor="text1"/>
          <w:sz w:val="32"/>
          <w:szCs w:val="32"/>
        </w:rPr>
        <w:t>四是数字治理效能有待完善。</w:t>
      </w:r>
      <w:r>
        <w:rPr>
          <w:rFonts w:hint="eastAsia" w:ascii="仿宋_GB2312" w:eastAsia="仿宋_GB2312"/>
          <w:color w:val="000000" w:themeColor="text1"/>
          <w:sz w:val="32"/>
          <w:szCs w:val="32"/>
        </w:rPr>
        <w:t>政务数据资源“聚通用”还没有完全打通，多数部门间未能实现有效协同，政务数据融合机制有待完善，全方位数据挖掘应用能力仍需提升。教育信息化建设水平与教育优质均衡发展需求还有一些距离，周边县（市、区）较市本级，教育资源差距明显；全民健康信息平台尚处于建设初期，卫生信息资源整合和互通共享程度低、阻力大；智慧交通建设仍停留在基础设施改造阶段，大数据服务出行能力不足；慧社区、智慧养老仍在试点探索中，全域旅游大数据中心数据不完整，智慧旅游体验感不强。总体看，数据归集共享不够，开发利用待深化，急需从“被动归数”向“主动谋数”进行转变。</w:t>
      </w:r>
    </w:p>
    <w:p>
      <w:pPr>
        <w:widowControl/>
        <w:spacing w:line="600" w:lineRule="exact"/>
        <w:ind w:firstLine="643" w:firstLineChars="200"/>
        <w:rPr>
          <w:color w:val="000000" w:themeColor="text1"/>
        </w:rPr>
      </w:pPr>
      <w:r>
        <w:rPr>
          <w:rFonts w:hint="eastAsia" w:ascii="楷体_GB2312" w:hAnsi="楷体_GB2312" w:eastAsia="楷体_GB2312"/>
          <w:b/>
          <w:bCs/>
          <w:color w:val="000000" w:themeColor="text1"/>
          <w:sz w:val="32"/>
          <w:szCs w:val="32"/>
        </w:rPr>
        <w:t>五是要素保障力度不足，发展环境有待优化。</w:t>
      </w:r>
      <w:r>
        <w:rPr>
          <w:rFonts w:hint="eastAsia" w:ascii="仿宋_GB2312" w:eastAsia="仿宋_GB2312"/>
          <w:color w:val="000000" w:themeColor="text1"/>
          <w:sz w:val="32"/>
          <w:szCs w:val="32"/>
        </w:rPr>
        <w:t>数字经济人才储备不足较为明显，对外人才招引不够、本土高校毕业生留玉率不足、人才培养体系不够健全等问题突出。可用于重大数字经济项目落地的连片可用土地较为不足，政策优惠力度与南宁、柳州等地区相差较大，制约人才和项目招引落地。</w:t>
      </w:r>
    </w:p>
    <w:p>
      <w:pPr>
        <w:pStyle w:val="5"/>
        <w:keepNext w:val="0"/>
        <w:keepLines w:val="0"/>
        <w:adjustRightInd w:val="0"/>
        <w:snapToGrid w:val="0"/>
        <w:spacing w:before="0" w:after="0" w:line="600" w:lineRule="exact"/>
        <w:ind w:firstLine="643"/>
        <w:jc w:val="both"/>
        <w:rPr>
          <w:rFonts w:ascii="楷体_GB2312" w:hAnsi="楷体_GB2312" w:cs="方正楷体_GBK"/>
          <w:bCs w:val="0"/>
          <w:color w:val="000000" w:themeColor="text1"/>
          <w:kern w:val="21"/>
        </w:rPr>
      </w:pPr>
      <w:bookmarkStart w:id="9" w:name="_Toc93409973"/>
      <w:r>
        <w:rPr>
          <w:rFonts w:hint="eastAsia" w:ascii="楷体_GB2312" w:hAnsi="楷体_GB2312" w:cs="方正楷体_GBK"/>
          <w:bCs w:val="0"/>
          <w:color w:val="000000" w:themeColor="text1"/>
          <w:kern w:val="21"/>
        </w:rPr>
        <w:t>（二）发展趋势</w:t>
      </w:r>
      <w:bookmarkEnd w:id="9"/>
    </w:p>
    <w:p>
      <w:pPr>
        <w:widowControl/>
        <w:spacing w:line="600" w:lineRule="exact"/>
        <w:ind w:firstLine="643" w:firstLineChars="200"/>
        <w:rPr>
          <w:rFonts w:ascii="仿宋_GB2312" w:eastAsia="仿宋_GB2312"/>
          <w:b/>
          <w:bCs/>
          <w:color w:val="000000" w:themeColor="text1"/>
          <w:sz w:val="32"/>
          <w:szCs w:val="32"/>
        </w:rPr>
      </w:pPr>
      <w:r>
        <w:rPr>
          <w:rFonts w:hint="eastAsia" w:ascii="楷体_GB2312" w:hAnsi="楷体_GB2312" w:eastAsia="楷体_GB2312"/>
          <w:b/>
          <w:bCs/>
          <w:color w:val="000000" w:themeColor="text1"/>
          <w:sz w:val="32"/>
          <w:szCs w:val="32"/>
        </w:rPr>
        <w:t>打造“数字玉林”是贯彻落实“数字中国”和“数字广西”决策部署的必然要求。</w:t>
      </w:r>
      <w:r>
        <w:rPr>
          <w:rFonts w:hint="eastAsia" w:ascii="仿宋_GB2312" w:eastAsia="仿宋_GB2312"/>
          <w:color w:val="000000" w:themeColor="text1"/>
          <w:sz w:val="32"/>
          <w:szCs w:val="32"/>
        </w:rPr>
        <w:t>《中共中央关于制定国民经济和社会发展第十四个五年规划和二</w:t>
      </w:r>
      <w:r>
        <w:rPr>
          <w:rFonts w:hint="eastAsia" w:ascii="微软雅黑" w:hAnsi="微软雅黑" w:eastAsia="微软雅黑" w:cs="微软雅黑"/>
          <w:color w:val="000000" w:themeColor="text1"/>
          <w:sz w:val="32"/>
          <w:szCs w:val="32"/>
        </w:rPr>
        <w:t>〇</w:t>
      </w:r>
      <w:r>
        <w:rPr>
          <w:rFonts w:hint="eastAsia" w:ascii="仿宋_GB2312" w:hAnsi="仿宋_GB2312" w:eastAsia="仿宋_GB2312" w:cs="仿宋_GB2312"/>
          <w:color w:val="000000" w:themeColor="text1"/>
          <w:sz w:val="32"/>
          <w:szCs w:val="32"/>
        </w:rPr>
        <w:t>三五年远景目标的建议》提出，要加快数字化发展，“发展数字经济，加强数字社会、数字政府建设”，</w:t>
      </w:r>
      <w:r>
        <w:rPr>
          <w:rFonts w:hint="eastAsia" w:ascii="仿宋_GB2312" w:eastAsia="仿宋_GB2312"/>
          <w:color w:val="000000" w:themeColor="text1"/>
          <w:sz w:val="32"/>
          <w:szCs w:val="32"/>
        </w:rPr>
        <w:t>党的十九大报告提出加快建设网络强国、数字中国和智慧社会。自治区区委区政府作出建设“数字广西”战略部署，印发了《数字广西发展“十四五”规划》。全区各地将数字化建设作为落实“数字广西”战略的生动实践和加快新旧动能转换的重大举措，力争在融入和服务“数字广西”战略中走在前列。</w:t>
      </w:r>
    </w:p>
    <w:p>
      <w:pPr>
        <w:widowControl/>
        <w:spacing w:line="600" w:lineRule="exact"/>
        <w:ind w:firstLine="643" w:firstLineChars="200"/>
        <w:rPr>
          <w:rFonts w:ascii="仿宋_GB2312" w:eastAsia="仿宋_GB2312"/>
          <w:color w:val="000000" w:themeColor="text1"/>
          <w:sz w:val="32"/>
          <w:szCs w:val="32"/>
        </w:rPr>
      </w:pPr>
      <w:r>
        <w:rPr>
          <w:rFonts w:hint="eastAsia" w:ascii="楷体_GB2312" w:hAnsi="楷体_GB2312" w:eastAsia="楷体_GB2312"/>
          <w:b/>
          <w:bCs/>
          <w:color w:val="000000" w:themeColor="text1"/>
          <w:sz w:val="32"/>
          <w:szCs w:val="32"/>
        </w:rPr>
        <w:t>打造“数字玉林”是玉林借力新一轮科技革命实现经济高质量发展的必然选择。</w:t>
      </w:r>
      <w:r>
        <w:rPr>
          <w:rFonts w:hint="eastAsia" w:ascii="楷体_GB2312" w:hAnsi="楷体_GB2312" w:eastAsia="楷体_GB2312"/>
          <w:color w:val="000000" w:themeColor="text1"/>
          <w:sz w:val="32"/>
          <w:szCs w:val="32"/>
        </w:rPr>
        <w:t>“</w:t>
      </w:r>
      <w:r>
        <w:rPr>
          <w:rFonts w:hint="eastAsia" w:ascii="仿宋_GB2312" w:eastAsia="仿宋_GB2312"/>
          <w:color w:val="000000" w:themeColor="text1"/>
          <w:sz w:val="32"/>
          <w:szCs w:val="32"/>
        </w:rPr>
        <w:t>十四五”时期，信息技术创新日新月异，以</w:t>
      </w:r>
      <w:r>
        <w:rPr>
          <w:rFonts w:eastAsia="仿宋_GB2312"/>
          <w:color w:val="000000" w:themeColor="text1"/>
          <w:sz w:val="32"/>
          <w:szCs w:val="32"/>
        </w:rPr>
        <w:t>5G、</w:t>
      </w:r>
      <w:r>
        <w:rPr>
          <w:rFonts w:hint="eastAsia" w:ascii="仿宋_GB2312" w:eastAsia="仿宋_GB2312"/>
          <w:color w:val="000000" w:themeColor="text1"/>
          <w:sz w:val="32"/>
          <w:szCs w:val="32"/>
        </w:rPr>
        <w:t>人工智能、区块链、云计算、大数据、物联网等为代表的新一代信息技术加速突破应用，数字化、网络化、智能化深入发展，新一轮科技革命进入以数字技术广泛赋能、产业互联升级重构、智能驱动加速显现的新阶段。牢牢把握住数字变革的战略机遇，加快发展数字经济，进一步重塑数字经济的技术架构、产品形态、商业模式和治理方式，是玉林市加速数字经济发展的必然选择。</w:t>
      </w:r>
    </w:p>
    <w:p>
      <w:pPr>
        <w:widowControl/>
        <w:spacing w:line="600" w:lineRule="exact"/>
        <w:ind w:firstLine="643" w:firstLineChars="200"/>
        <w:rPr>
          <w:rFonts w:ascii="仿宋_GB2312" w:eastAsia="仿宋_GB2312"/>
          <w:color w:val="000000" w:themeColor="text1"/>
          <w:sz w:val="32"/>
          <w:szCs w:val="32"/>
        </w:rPr>
      </w:pPr>
      <w:r>
        <w:rPr>
          <w:rFonts w:hint="eastAsia" w:ascii="楷体_GB2312" w:hAnsi="楷体_GB2312" w:eastAsia="楷体_GB2312"/>
          <w:b/>
          <w:bCs/>
          <w:color w:val="000000" w:themeColor="text1"/>
          <w:sz w:val="32"/>
          <w:szCs w:val="32"/>
        </w:rPr>
        <w:t>打造“数字玉林”是融入全区发展一盘棋的必然举措。</w:t>
      </w:r>
      <w:r>
        <w:rPr>
          <w:rFonts w:hint="eastAsia" w:ascii="仿宋_GB2312" w:eastAsia="仿宋_GB2312"/>
          <w:color w:val="000000" w:themeColor="text1"/>
          <w:sz w:val="32"/>
          <w:szCs w:val="32"/>
        </w:rPr>
        <w:t>“十四五”期间，自治区着力打造面向东盟的“数字丝绸之路”开放合作高地，以建设中国—东盟信息港为抓手，深化与东盟各国交流与合作常态化机制，携手共建“数字丝绸之路”，形成沿边沿海数字经济“增长极”。重点建设“云网智算”协同发展创新区，努力打造成对内服务东部沿海发达地区、辐射中西部省区，对外面向东盟开展国际算力输出及算力服务的区域性算力枢纽。加快建设“数字玉林”是贯彻新发展理念、转变发展方式的现实路径，也是玉林打造自治区数字经济先行先试示范区，实现实体经济大幅跃升，国际影响力显著增强，成为面向东盟的数字经济合作发展新高地的必然举措。</w:t>
      </w:r>
    </w:p>
    <w:p>
      <w:pPr>
        <w:widowControl/>
        <w:spacing w:line="600" w:lineRule="exact"/>
        <w:ind w:firstLine="643" w:firstLineChars="200"/>
        <w:rPr>
          <w:rFonts w:ascii="仿宋_GB2312" w:eastAsia="仿宋_GB2312"/>
          <w:color w:val="000000" w:themeColor="text1"/>
          <w:sz w:val="32"/>
          <w:szCs w:val="32"/>
        </w:rPr>
      </w:pPr>
      <w:r>
        <w:rPr>
          <w:rFonts w:hint="eastAsia" w:ascii="楷体_GB2312" w:hAnsi="楷体_GB2312" w:eastAsia="楷体_GB2312"/>
          <w:b/>
          <w:bCs/>
          <w:color w:val="000000" w:themeColor="text1"/>
          <w:sz w:val="32"/>
          <w:szCs w:val="32"/>
        </w:rPr>
        <w:t>打造“数字玉林”是推进治理体系和治理能力现代化的必然举措。</w:t>
      </w:r>
      <w:r>
        <w:rPr>
          <w:rFonts w:hint="eastAsia" w:ascii="仿宋_GB2312" w:eastAsia="仿宋_GB2312"/>
          <w:color w:val="000000" w:themeColor="text1"/>
          <w:sz w:val="32"/>
          <w:szCs w:val="32"/>
        </w:rPr>
        <w:t>以数据资源高效治理为要素基础，以城市中枢智能治理为重要技术手段，合理利用大数据、云计算、区块链、人工智能等前沿技术，推动城市管理手段、管理模式、管理理念创新，全面构建跨层级综合治理、跨部门协同治理、基层社会精细化治理等城市治理新模式，将成为城市治理体系和治理能力现代化的有效手段，也是玉林市实现数字化城市进程的必然举措。</w:t>
      </w:r>
    </w:p>
    <w:p>
      <w:pPr>
        <w:widowControl/>
        <w:spacing w:line="600" w:lineRule="exact"/>
        <w:ind w:firstLine="643" w:firstLineChars="200"/>
        <w:rPr>
          <w:rFonts w:ascii="仿宋_GB2312" w:eastAsia="仿宋_GB2312"/>
          <w:color w:val="000000" w:themeColor="text1"/>
          <w:sz w:val="32"/>
          <w:szCs w:val="32"/>
        </w:rPr>
      </w:pPr>
      <w:r>
        <w:rPr>
          <w:rFonts w:hint="eastAsia" w:ascii="楷体_GB2312" w:hAnsi="楷体_GB2312" w:eastAsia="楷体_GB2312"/>
          <w:b/>
          <w:bCs/>
          <w:color w:val="000000" w:themeColor="text1"/>
          <w:sz w:val="32"/>
          <w:szCs w:val="32"/>
        </w:rPr>
        <w:t>打造“数字玉林”是准确把握新发展阶段、全面贯彻新发展理念的必经之路。</w:t>
      </w:r>
      <w:r>
        <w:rPr>
          <w:rFonts w:hint="eastAsia" w:ascii="仿宋_GB2312" w:eastAsia="仿宋_GB2312"/>
          <w:color w:val="000000" w:themeColor="text1"/>
          <w:sz w:val="32"/>
          <w:szCs w:val="32"/>
        </w:rPr>
        <w:t>加快农业、工业服务业数字化提升进程，推进产业数字化；建设数字政府大脑，推动协同办公一体化，推进公共服务智能化；综合运用数字技术建设“城市大脑”，完善城市数字化管理平台和智能感知系统，加快新型智慧城市建设；培育发展数字服务新模式，促进数字生活服务发展；把数字玉林建设作为落实数字中国战略的生动实践，是玉林以建成产业强、枢纽强、生态强、法治强、乡村振兴示范区、政治生态示范区、城市美“四强两区一美”两湾先行试验区为奋斗目标的必经之路。</w:t>
      </w:r>
    </w:p>
    <w:p>
      <w:pPr>
        <w:pStyle w:val="44"/>
        <w:rPr>
          <w:color w:val="000000" w:themeColor="text1"/>
        </w:rPr>
      </w:pPr>
    </w:p>
    <w:p>
      <w:pPr>
        <w:pStyle w:val="4"/>
        <w:keepNext w:val="0"/>
        <w:keepLines w:val="0"/>
        <w:adjustRightInd w:val="0"/>
        <w:snapToGrid w:val="0"/>
        <w:spacing w:before="0" w:after="0" w:line="600" w:lineRule="exact"/>
        <w:ind w:firstLine="720"/>
        <w:jc w:val="both"/>
        <w:rPr>
          <w:rFonts w:ascii="Times New Roman" w:hAnsi="Times New Roman" w:eastAsia="方正黑体_GBK" w:cs="方正黑体_GBK"/>
          <w:b w:val="0"/>
          <w:color w:val="000000" w:themeColor="text1"/>
          <w:kern w:val="21"/>
          <w:szCs w:val="36"/>
        </w:rPr>
      </w:pPr>
      <w:bookmarkStart w:id="10" w:name="_Toc93409974"/>
      <w:r>
        <w:rPr>
          <w:rFonts w:hint="eastAsia" w:ascii="Times New Roman" w:hAnsi="Times New Roman" w:eastAsia="方正黑体_GBK" w:cs="方正黑体_GBK"/>
          <w:b w:val="0"/>
          <w:color w:val="000000" w:themeColor="text1"/>
          <w:kern w:val="21"/>
          <w:szCs w:val="36"/>
        </w:rPr>
        <w:t>二、总体思路</w:t>
      </w:r>
      <w:bookmarkEnd w:id="10"/>
    </w:p>
    <w:p>
      <w:pPr>
        <w:pStyle w:val="5"/>
        <w:keepNext w:val="0"/>
        <w:keepLines w:val="0"/>
        <w:adjustRightInd w:val="0"/>
        <w:snapToGrid w:val="0"/>
        <w:spacing w:before="0" w:after="0" w:line="600" w:lineRule="exact"/>
        <w:ind w:firstLine="643"/>
        <w:jc w:val="both"/>
        <w:rPr>
          <w:rFonts w:ascii="楷体_GB2312" w:hAnsi="楷体_GB2312" w:cs="方正楷体_GBK"/>
          <w:bCs w:val="0"/>
          <w:color w:val="000000" w:themeColor="text1"/>
          <w:kern w:val="21"/>
        </w:rPr>
      </w:pPr>
      <w:bookmarkStart w:id="11" w:name="_Toc93409975"/>
      <w:r>
        <w:rPr>
          <w:rFonts w:ascii="楷体_GB2312" w:hAnsi="楷体_GB2312" w:cs="方正楷体_GBK"/>
          <w:bCs w:val="0"/>
          <w:color w:val="000000" w:themeColor="text1"/>
          <w:kern w:val="21"/>
        </w:rPr>
        <w:t>（一）</w:t>
      </w:r>
      <w:r>
        <w:rPr>
          <w:rFonts w:hint="eastAsia" w:ascii="楷体_GB2312" w:hAnsi="楷体_GB2312" w:cs="方正楷体_GBK"/>
          <w:bCs w:val="0"/>
          <w:color w:val="000000" w:themeColor="text1"/>
          <w:kern w:val="21"/>
        </w:rPr>
        <w:t>指导思想</w:t>
      </w:r>
      <w:bookmarkEnd w:id="11"/>
    </w:p>
    <w:p>
      <w:pPr>
        <w:pStyle w:val="44"/>
        <w:spacing w:line="600" w:lineRule="exact"/>
        <w:ind w:firstLine="640" w:firstLineChars="200"/>
        <w:rPr>
          <w:rFonts w:ascii="仿宋_GB2312" w:hAnsi="楷体_GB2312" w:eastAsia="仿宋_GB2312"/>
          <w:color w:val="000000" w:themeColor="text1"/>
          <w:sz w:val="32"/>
          <w:szCs w:val="32"/>
        </w:rPr>
      </w:pPr>
      <w:r>
        <w:rPr>
          <w:rFonts w:hint="eastAsia" w:ascii="仿宋_GB2312" w:hAnsi="楷体_GB2312" w:eastAsia="仿宋_GB2312"/>
          <w:color w:val="000000" w:themeColor="text1"/>
          <w:kern w:val="0"/>
          <w:sz w:val="32"/>
          <w:szCs w:val="32"/>
        </w:rPr>
        <w:t>坚持以习近平新时代中国特色社会主义思想为指导，全面贯彻落实党的十九大和十九届历次全会精神，深入贯彻习近平总书记关于网络强国、数字中国、智慧社会重要论述和对广西工作系列重要指示精神，全面落实“三大定位”新使命、“五个扎实”新要求和“四个新”总要求、四个方面重要工作，牢固树立新发展理念，融入新发展格局，以推动高质量发展为主题，以创新引领、数据驱动为核心，以</w:t>
      </w:r>
      <w:r>
        <w:rPr>
          <w:rFonts w:hint="eastAsia" w:ascii="仿宋_GB2312" w:hAnsi="楷体_GB2312" w:eastAsia="仿宋_GB2312"/>
          <w:color w:val="000000" w:themeColor="text1"/>
          <w:sz w:val="32"/>
          <w:szCs w:val="32"/>
        </w:rPr>
        <w:t>推动数字产业化、产业数字化、城市数字化“三化融合”协调发展为路径，聚焦“</w:t>
      </w:r>
      <w:r>
        <w:rPr>
          <w:rFonts w:eastAsia="仿宋_GB2312"/>
          <w:color w:val="000000" w:themeColor="text1"/>
          <w:sz w:val="32"/>
          <w:szCs w:val="32"/>
        </w:rPr>
        <w:t>5+6</w:t>
      </w:r>
      <w:r>
        <w:rPr>
          <w:rFonts w:hint="eastAsia" w:ascii="仿宋_GB2312" w:hAnsi="楷体_GB2312" w:eastAsia="仿宋_GB2312"/>
          <w:color w:val="000000" w:themeColor="text1"/>
          <w:sz w:val="32"/>
          <w:szCs w:val="32"/>
        </w:rPr>
        <w:t>”产业链</w:t>
      </w:r>
      <w:r>
        <w:rPr>
          <w:rStyle w:val="27"/>
          <w:rFonts w:ascii="仿宋_GB2312" w:hAnsi="楷体_GB2312" w:eastAsia="仿宋_GB2312"/>
          <w:color w:val="000000" w:themeColor="text1"/>
          <w:sz w:val="32"/>
          <w:szCs w:val="32"/>
        </w:rPr>
        <w:footnoteReference w:id="0"/>
      </w:r>
      <w:r>
        <w:rPr>
          <w:rFonts w:hint="eastAsia" w:ascii="仿宋_GB2312" w:hAnsi="楷体_GB2312" w:eastAsia="仿宋_GB2312"/>
          <w:color w:val="000000" w:themeColor="text1"/>
          <w:sz w:val="32"/>
          <w:szCs w:val="32"/>
        </w:rPr>
        <w:t>，夯实数字发展基础、</w:t>
      </w:r>
      <w:r>
        <w:rPr>
          <w:rStyle w:val="45"/>
          <w:rFonts w:hint="default" w:hAnsi="楷体_GB2312"/>
          <w:color w:val="000000" w:themeColor="text1"/>
        </w:rPr>
        <w:t>提升数字产业能级、创新数字政府模式，完善数字社会体系、培育数字经济新业态新模式，</w:t>
      </w:r>
      <w:r>
        <w:rPr>
          <w:rFonts w:hint="eastAsia" w:ascii="仿宋_GB2312" w:hAnsi="楷体_GB2312" w:eastAsia="仿宋_GB2312"/>
          <w:color w:val="000000" w:themeColor="text1"/>
          <w:kern w:val="0"/>
          <w:sz w:val="32"/>
          <w:szCs w:val="32"/>
        </w:rPr>
        <w:t>不断优化数字生态，努力实现数字强市和云上玉林，为扎实推进</w:t>
      </w:r>
      <w:r>
        <w:rPr>
          <w:rFonts w:hint="eastAsia" w:ascii="仿宋_GB2312" w:hAnsi="楷体_GB2312" w:eastAsia="仿宋_GB2312"/>
          <w:color w:val="000000" w:themeColor="text1"/>
          <w:sz w:val="32"/>
          <w:szCs w:val="32"/>
        </w:rPr>
        <w:t>玉林市建设成为“四强两区一美”</w:t>
      </w:r>
      <w:r>
        <w:rPr>
          <w:rStyle w:val="27"/>
          <w:rFonts w:ascii="仿宋_GB2312" w:hAnsi="楷体_GB2312" w:eastAsia="仿宋_GB2312"/>
          <w:color w:val="000000" w:themeColor="text1"/>
          <w:sz w:val="32"/>
          <w:szCs w:val="32"/>
        </w:rPr>
        <w:footnoteReference w:id="1"/>
      </w:r>
      <w:r>
        <w:rPr>
          <w:rFonts w:hint="eastAsia" w:ascii="仿宋_GB2312" w:hAnsi="楷体_GB2312" w:eastAsia="仿宋_GB2312"/>
          <w:color w:val="000000" w:themeColor="text1"/>
          <w:sz w:val="32"/>
          <w:szCs w:val="32"/>
        </w:rPr>
        <w:t>两湾先行试验区提供强有力支撑。</w:t>
      </w:r>
    </w:p>
    <w:p>
      <w:pPr>
        <w:pStyle w:val="5"/>
        <w:keepNext w:val="0"/>
        <w:keepLines w:val="0"/>
        <w:adjustRightInd w:val="0"/>
        <w:snapToGrid w:val="0"/>
        <w:spacing w:before="0" w:after="0" w:line="600" w:lineRule="exact"/>
        <w:ind w:firstLine="643"/>
        <w:jc w:val="both"/>
        <w:rPr>
          <w:rFonts w:ascii="楷体_GB2312" w:hAnsi="楷体_GB2312" w:cs="方正楷体_GBK"/>
          <w:bCs w:val="0"/>
          <w:color w:val="000000" w:themeColor="text1"/>
          <w:kern w:val="21"/>
        </w:rPr>
      </w:pPr>
      <w:bookmarkStart w:id="12" w:name="_Toc93409976"/>
      <w:r>
        <w:rPr>
          <w:rFonts w:ascii="楷体_GB2312" w:hAnsi="楷体_GB2312" w:cs="方正楷体_GBK"/>
          <w:bCs w:val="0"/>
          <w:color w:val="000000" w:themeColor="text1"/>
          <w:kern w:val="21"/>
        </w:rPr>
        <w:t>（</w:t>
      </w:r>
      <w:r>
        <w:rPr>
          <w:rFonts w:hint="eastAsia" w:ascii="楷体_GB2312" w:hAnsi="楷体_GB2312" w:cs="方正楷体_GBK"/>
          <w:bCs w:val="0"/>
          <w:color w:val="000000" w:themeColor="text1"/>
          <w:kern w:val="21"/>
        </w:rPr>
        <w:t>二</w:t>
      </w:r>
      <w:r>
        <w:rPr>
          <w:rFonts w:ascii="楷体_GB2312" w:hAnsi="楷体_GB2312" w:cs="方正楷体_GBK"/>
          <w:bCs w:val="0"/>
          <w:color w:val="000000" w:themeColor="text1"/>
          <w:kern w:val="21"/>
        </w:rPr>
        <w:t>）</w:t>
      </w:r>
      <w:r>
        <w:rPr>
          <w:rFonts w:hint="eastAsia" w:ascii="楷体_GB2312" w:hAnsi="楷体_GB2312" w:cs="方正楷体_GBK"/>
          <w:bCs w:val="0"/>
          <w:color w:val="000000" w:themeColor="text1"/>
          <w:kern w:val="21"/>
        </w:rPr>
        <w:t>基本原则</w:t>
      </w:r>
      <w:bookmarkEnd w:id="12"/>
    </w:p>
    <w:p>
      <w:pPr>
        <w:pStyle w:val="44"/>
        <w:spacing w:line="600" w:lineRule="exact"/>
        <w:ind w:firstLine="643" w:firstLineChars="200"/>
        <w:rPr>
          <w:rFonts w:ascii="仿宋_GB2312" w:hAnsi="仿宋" w:eastAsia="仿宋_GB2312"/>
          <w:color w:val="000000" w:themeColor="text1"/>
          <w:kern w:val="0"/>
          <w:sz w:val="32"/>
          <w:szCs w:val="32"/>
        </w:rPr>
      </w:pPr>
      <w:r>
        <w:rPr>
          <w:rFonts w:hint="eastAsia" w:ascii="楷体_GB2312" w:hAnsi="楷体_GB2312" w:eastAsia="楷体_GB2312"/>
          <w:b/>
          <w:bCs/>
          <w:color w:val="000000" w:themeColor="text1"/>
          <w:kern w:val="0"/>
          <w:sz w:val="32"/>
          <w:szCs w:val="32"/>
        </w:rPr>
        <w:t>创新引领，数据驱动。</w:t>
      </w:r>
      <w:r>
        <w:rPr>
          <w:rFonts w:hint="eastAsia" w:ascii="仿宋_GB2312" w:hAnsi="仿宋" w:eastAsia="仿宋_GB2312"/>
          <w:color w:val="000000" w:themeColor="text1"/>
          <w:kern w:val="0"/>
          <w:sz w:val="32"/>
          <w:szCs w:val="32"/>
        </w:rPr>
        <w:t>坚持创新是第一动力，积极提升</w:t>
      </w:r>
      <w:r>
        <w:rPr>
          <w:rFonts w:eastAsia="仿宋_GB2312"/>
          <w:color w:val="000000" w:themeColor="text1"/>
          <w:kern w:val="0"/>
          <w:sz w:val="32"/>
          <w:szCs w:val="32"/>
        </w:rPr>
        <w:t>5G</w:t>
      </w:r>
      <w:r>
        <w:rPr>
          <w:rFonts w:hint="eastAsia" w:ascii="仿宋_GB2312" w:hAnsi="仿宋" w:eastAsia="仿宋_GB2312"/>
          <w:color w:val="000000" w:themeColor="text1"/>
          <w:kern w:val="0"/>
          <w:sz w:val="32"/>
          <w:szCs w:val="32"/>
        </w:rPr>
        <w:t>、大数据、云计算、人工智能、物联网、区块链等数字技术创新能力，强化融合创新，推动创新链、产业链、资金链、政策链、人才链“五链”深度融合。充分挖掘数据资源的要素潜力，培育数据驱动的数字经济发展新模式，深化数据融通应用的广度和深度，更大限度地发挥数据要素对数字经济创新发展的引领作用。</w:t>
      </w:r>
    </w:p>
    <w:p>
      <w:pPr>
        <w:pStyle w:val="44"/>
        <w:spacing w:line="600" w:lineRule="exact"/>
        <w:ind w:firstLine="643" w:firstLineChars="200"/>
        <w:rPr>
          <w:rFonts w:ascii="仿宋_GB2312" w:hAnsi="仿宋" w:eastAsia="仿宋_GB2312"/>
          <w:color w:val="000000" w:themeColor="text1"/>
          <w:kern w:val="0"/>
          <w:sz w:val="32"/>
          <w:szCs w:val="32"/>
        </w:rPr>
      </w:pPr>
      <w:r>
        <w:rPr>
          <w:rFonts w:hint="eastAsia" w:ascii="楷体_GB2312" w:hAnsi="楷体_GB2312" w:eastAsia="楷体_GB2312"/>
          <w:b/>
          <w:bCs/>
          <w:color w:val="000000" w:themeColor="text1"/>
          <w:kern w:val="0"/>
          <w:sz w:val="32"/>
          <w:szCs w:val="32"/>
        </w:rPr>
        <w:t>政府引导，多方参与。</w:t>
      </w:r>
      <w:r>
        <w:rPr>
          <w:rFonts w:hint="eastAsia" w:ascii="仿宋_GB2312" w:hAnsi="仿宋" w:eastAsia="仿宋_GB2312"/>
          <w:color w:val="000000" w:themeColor="text1"/>
          <w:kern w:val="0"/>
          <w:sz w:val="32"/>
          <w:szCs w:val="32"/>
        </w:rPr>
        <w:t>充分发挥政府对数据资源的统筹管理作用，以市场为导向，以企业为主体，推动有效市场和有为政府更好结合，调动全社会各方面力量共同发力，构建政府、企业、高校、公众等社会多方参与，“政产学+研用创”紧密结合的“数字玉林”互动发展格局。</w:t>
      </w:r>
    </w:p>
    <w:p>
      <w:pPr>
        <w:pStyle w:val="44"/>
        <w:spacing w:line="600" w:lineRule="exact"/>
        <w:ind w:firstLine="643" w:firstLineChars="200"/>
        <w:rPr>
          <w:rFonts w:ascii="仿宋_GB2312" w:hAnsi="仿宋" w:eastAsia="仿宋_GB2312"/>
          <w:color w:val="000000" w:themeColor="text1"/>
          <w:kern w:val="0"/>
          <w:sz w:val="32"/>
          <w:szCs w:val="32"/>
        </w:rPr>
      </w:pPr>
      <w:r>
        <w:rPr>
          <w:rFonts w:hint="eastAsia" w:ascii="楷体_GB2312" w:hAnsi="楷体_GB2312" w:eastAsia="楷体_GB2312"/>
          <w:b/>
          <w:bCs/>
          <w:color w:val="000000" w:themeColor="text1"/>
          <w:kern w:val="0"/>
          <w:sz w:val="32"/>
          <w:szCs w:val="32"/>
        </w:rPr>
        <w:t>以人为本，服务民生。</w:t>
      </w:r>
      <w:r>
        <w:rPr>
          <w:rFonts w:hint="eastAsia" w:ascii="仿宋_GB2312" w:hAnsi="仿宋" w:eastAsia="仿宋_GB2312"/>
          <w:color w:val="000000" w:themeColor="text1"/>
          <w:kern w:val="0"/>
          <w:sz w:val="32"/>
          <w:szCs w:val="32"/>
        </w:rPr>
        <w:t>坚持需求导向，以解决群众、企业、基层治理者的“急难愁盼”为导向，通过数字政府建设，增强群众和企业的获得感、幸福感和安全感，着力发挥信息化促进公共资源优化配置的作用，让数据多跑路、百姓少跑腿，努力提供高效便捷的数字化惠民服务。</w:t>
      </w:r>
    </w:p>
    <w:p>
      <w:pPr>
        <w:pStyle w:val="44"/>
        <w:spacing w:line="600" w:lineRule="exact"/>
        <w:ind w:firstLine="643" w:firstLineChars="200"/>
        <w:rPr>
          <w:rFonts w:ascii="仿宋_GB2312" w:hAnsi="仿宋" w:eastAsia="仿宋_GB2312"/>
          <w:color w:val="000000" w:themeColor="text1"/>
          <w:kern w:val="0"/>
          <w:sz w:val="32"/>
          <w:szCs w:val="32"/>
        </w:rPr>
      </w:pPr>
      <w:r>
        <w:rPr>
          <w:rFonts w:hint="eastAsia" w:ascii="楷体_GB2312" w:hAnsi="楷体_GB2312" w:eastAsia="楷体_GB2312"/>
          <w:b/>
          <w:bCs/>
          <w:color w:val="000000" w:themeColor="text1"/>
          <w:kern w:val="0"/>
          <w:sz w:val="32"/>
          <w:szCs w:val="32"/>
        </w:rPr>
        <w:t>基础先行，安全可控。</w:t>
      </w:r>
      <w:r>
        <w:rPr>
          <w:rFonts w:hint="eastAsia" w:ascii="仿宋_GB2312" w:hAnsi="仿宋" w:eastAsia="仿宋_GB2312"/>
          <w:color w:val="000000" w:themeColor="text1"/>
          <w:kern w:val="0"/>
          <w:sz w:val="32"/>
          <w:szCs w:val="32"/>
        </w:rPr>
        <w:t>统筹全市计算、存储、网络等基础资源的整合部署，加快构建泛在互联、集约共享、融合智能、安全可靠的数字基础支撑体系。加强网络和信息安全监督管理，加强对网络安全产业的分类指导和分区施策，加大工控系统安全管理力度，推动网络信息安全与数字经济双轮驱动并行发展。</w:t>
      </w:r>
    </w:p>
    <w:p>
      <w:pPr>
        <w:adjustRightInd w:val="0"/>
        <w:snapToGrid w:val="0"/>
        <w:spacing w:line="590" w:lineRule="exact"/>
        <w:ind w:firstLine="643" w:firstLineChars="200"/>
        <w:rPr>
          <w:rFonts w:ascii="仿宋_GB2312" w:eastAsia="仿宋_GB2312"/>
          <w:color w:val="000000" w:themeColor="text1"/>
          <w:kern w:val="21"/>
          <w:sz w:val="32"/>
          <w:szCs w:val="32"/>
        </w:rPr>
      </w:pPr>
      <w:r>
        <w:rPr>
          <w:rFonts w:hint="eastAsia" w:ascii="楷体_GB2312" w:hAnsi="楷体_GB2312" w:eastAsia="楷体_GB2312"/>
          <w:b/>
          <w:bCs/>
          <w:color w:val="000000" w:themeColor="text1"/>
          <w:kern w:val="21"/>
          <w:sz w:val="32"/>
          <w:szCs w:val="32"/>
        </w:rPr>
        <w:t>开放合作，互利共赢。</w:t>
      </w:r>
      <w:r>
        <w:rPr>
          <w:rFonts w:hint="eastAsia" w:ascii="仿宋_GB2312" w:eastAsia="仿宋_GB2312"/>
          <w:color w:val="000000" w:themeColor="text1"/>
          <w:kern w:val="21"/>
          <w:sz w:val="32"/>
          <w:szCs w:val="32"/>
        </w:rPr>
        <w:t>深度融入国内国际双循环，主动对接粤港澳大湾区数字化发展，主动参与西部陆海新通道建设，全面深化与北部湾城市群以及桂东粤西等周边城市的数字化合作，加强与东盟国家数字经济合作，促进对外开放、对内合作的良性互动，加快培育发展开放型数字经济。</w:t>
      </w:r>
    </w:p>
    <w:p>
      <w:pPr>
        <w:pStyle w:val="5"/>
        <w:keepNext w:val="0"/>
        <w:keepLines w:val="0"/>
        <w:adjustRightInd w:val="0"/>
        <w:snapToGrid w:val="0"/>
        <w:spacing w:before="0" w:after="0" w:line="600" w:lineRule="exact"/>
        <w:ind w:firstLine="643"/>
        <w:jc w:val="both"/>
        <w:rPr>
          <w:rFonts w:ascii="楷体_GB2312" w:hAnsi="楷体_GB2312" w:cs="方正楷体_GBK"/>
          <w:bCs w:val="0"/>
          <w:color w:val="000000" w:themeColor="text1"/>
          <w:kern w:val="21"/>
        </w:rPr>
      </w:pPr>
      <w:bookmarkStart w:id="13" w:name="_Toc93409977"/>
      <w:bookmarkStart w:id="14" w:name="_Toc87221422"/>
      <w:bookmarkStart w:id="15" w:name="_Toc26313"/>
      <w:bookmarkStart w:id="16" w:name="_Toc10640"/>
      <w:bookmarkStart w:id="17" w:name="_Toc21973"/>
      <w:bookmarkStart w:id="18" w:name="_Toc8212"/>
      <w:bookmarkStart w:id="19" w:name="_Toc32190"/>
      <w:bookmarkStart w:id="20" w:name="_Toc12141"/>
      <w:bookmarkStart w:id="21" w:name="_Toc75111445"/>
      <w:bookmarkStart w:id="22" w:name="_Toc66654730"/>
      <w:bookmarkStart w:id="23" w:name="_Toc26032"/>
      <w:bookmarkStart w:id="24" w:name="_Toc29538"/>
      <w:bookmarkStart w:id="25" w:name="_Toc21476"/>
      <w:bookmarkStart w:id="26" w:name="_Toc4256"/>
      <w:bookmarkStart w:id="27" w:name="_Toc18754"/>
      <w:bookmarkStart w:id="28" w:name="_Toc1967"/>
      <w:bookmarkStart w:id="29" w:name="_Toc14526"/>
      <w:bookmarkStart w:id="30" w:name="_Toc66196670"/>
      <w:r>
        <w:rPr>
          <w:rFonts w:ascii="楷体_GB2312" w:hAnsi="楷体_GB2312" w:cs="方正楷体_GBK"/>
          <w:bCs w:val="0"/>
          <w:color w:val="000000" w:themeColor="text1"/>
          <w:kern w:val="21"/>
        </w:rPr>
        <w:t>（</w:t>
      </w:r>
      <w:r>
        <w:rPr>
          <w:rFonts w:hint="eastAsia" w:ascii="楷体_GB2312" w:hAnsi="楷体_GB2312" w:cs="方正楷体_GBK"/>
          <w:bCs w:val="0"/>
          <w:color w:val="000000" w:themeColor="text1"/>
          <w:kern w:val="21"/>
        </w:rPr>
        <w:t>三</w:t>
      </w:r>
      <w:r>
        <w:rPr>
          <w:rFonts w:ascii="楷体_GB2312" w:hAnsi="楷体_GB2312" w:cs="方正楷体_GBK"/>
          <w:bCs w:val="0"/>
          <w:color w:val="000000" w:themeColor="text1"/>
          <w:kern w:val="21"/>
        </w:rPr>
        <w:t>）发展目标</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pPr>
        <w:pStyle w:val="19"/>
        <w:adjustRightInd w:val="0"/>
        <w:snapToGrid w:val="0"/>
        <w:spacing w:before="0" w:beforeAutospacing="0" w:after="0" w:afterAutospacing="0" w:line="600" w:lineRule="exact"/>
        <w:ind w:firstLine="640" w:firstLineChars="200"/>
        <w:jc w:val="both"/>
        <w:rPr>
          <w:color w:val="000000" w:themeColor="text1"/>
        </w:rPr>
      </w:pPr>
      <w:r>
        <w:rPr>
          <w:rFonts w:hint="eastAsia" w:ascii="仿宋_GB2312" w:hAnsi="Times New Roman" w:eastAsia="仿宋_GB2312"/>
          <w:bCs/>
          <w:color w:val="000000" w:themeColor="text1"/>
          <w:kern w:val="21"/>
          <w:sz w:val="32"/>
          <w:szCs w:val="32"/>
        </w:rPr>
        <w:t>以“强基、善治、惠民、兴业”为数字玉林建设总体目标，</w:t>
      </w:r>
      <w:r>
        <w:rPr>
          <w:rFonts w:ascii="Times New Roman" w:hAnsi="Times New Roman" w:eastAsia="仿宋_GB2312"/>
          <w:bCs/>
          <w:color w:val="000000" w:themeColor="text1"/>
          <w:kern w:val="21"/>
          <w:sz w:val="32"/>
          <w:szCs w:val="32"/>
        </w:rPr>
        <w:t>到2025</w:t>
      </w:r>
      <w:r>
        <w:rPr>
          <w:rFonts w:hint="eastAsia" w:ascii="仿宋_GB2312" w:hAnsi="Times New Roman" w:eastAsia="仿宋_GB2312"/>
          <w:bCs/>
          <w:color w:val="000000" w:themeColor="text1"/>
          <w:kern w:val="21"/>
          <w:sz w:val="32"/>
          <w:szCs w:val="32"/>
        </w:rPr>
        <w:t>年，数字技术助力玉林经济社会转型升级、提质增效、提档升级的成效全面显现。数字基础支撑体系更加完善，智慧城市中枢高效运转，数字政府高效协同，数字社会普惠便利，数字经济生产力明显提升，</w:t>
      </w:r>
      <w:r>
        <w:rPr>
          <w:rFonts w:hint="eastAsia" w:ascii="仿宋_GB2312" w:hAnsi="Times New Roman" w:eastAsia="仿宋_GB2312"/>
          <w:b/>
          <w:color w:val="000000" w:themeColor="text1"/>
          <w:kern w:val="21"/>
          <w:sz w:val="32"/>
          <w:szCs w:val="32"/>
        </w:rPr>
        <w:t>实现政务服务“一网通办”、城市治理“一网统管”、决策指挥“一屏统览”、政府办公“一网协同”、城市生活“一码通城”、产业发展“一站赋能”，</w:t>
      </w:r>
      <w:r>
        <w:rPr>
          <w:rFonts w:hint="eastAsia" w:ascii="仿宋_GB2312" w:hAnsi="Times New Roman" w:eastAsia="仿宋_GB2312"/>
          <w:bCs/>
          <w:color w:val="000000" w:themeColor="text1"/>
          <w:kern w:val="21"/>
          <w:sz w:val="32"/>
          <w:szCs w:val="32"/>
        </w:rPr>
        <w:t>将玉林打造成为服务推动“两湾”联动，促进数字经济发展的先行先试区</w:t>
      </w:r>
      <w:r>
        <w:rPr>
          <w:rFonts w:hint="eastAsia" w:ascii="仿宋_GB2312" w:hAnsi="Times New Roman" w:eastAsia="仿宋_GB2312"/>
          <w:color w:val="000000" w:themeColor="text1"/>
          <w:kern w:val="21"/>
          <w:sz w:val="32"/>
          <w:szCs w:val="32"/>
        </w:rPr>
        <w:t>。</w:t>
      </w:r>
    </w:p>
    <w:p>
      <w:pPr>
        <w:pStyle w:val="44"/>
        <w:ind w:left="-2" w:leftChars="-203" w:hanging="424" w:hangingChars="202"/>
        <w:jc w:val="center"/>
        <w:rPr>
          <w:rFonts w:ascii="方正仿宋_GBK" w:eastAsia="方正仿宋_GBK"/>
          <w:b/>
          <w:color w:val="000000" w:themeColor="text1"/>
          <w:kern w:val="21"/>
          <w:sz w:val="32"/>
          <w:szCs w:val="32"/>
        </w:rPr>
      </w:pPr>
      <w:r>
        <w:rPr>
          <w:color w:val="000000" w:themeColor="text1"/>
        </w:rPr>
        <w:object>
          <v:shape id="_x0000_i1025" o:spt="75" type="#_x0000_t75" style="height:284pt;width:473.35pt;" o:ole="t" filled="f" o:preferrelative="t" stroked="f" coordsize="21600,21600">
            <v:path/>
            <v:fill on="f" focussize="0,0"/>
            <v:stroke on="f" joinstyle="miter"/>
            <v:imagedata r:id="rId9" o:title=""/>
            <o:lock v:ext="edit" aspectratio="t"/>
            <w10:wrap type="none"/>
            <w10:anchorlock/>
          </v:shape>
          <o:OLEObject Type="Embed" ProgID="Visio.Drawing.15" ShapeID="_x0000_i1025" DrawAspect="Content" ObjectID="_1468075725" r:id="rId8">
            <o:LockedField>false</o:LockedField>
          </o:OLEObject>
        </w:object>
      </w:r>
    </w:p>
    <w:p>
      <w:pPr>
        <w:pStyle w:val="19"/>
        <w:adjustRightInd w:val="0"/>
        <w:snapToGrid w:val="0"/>
        <w:spacing w:before="0" w:beforeAutospacing="0" w:after="0" w:afterAutospacing="0" w:line="590" w:lineRule="exact"/>
        <w:jc w:val="center"/>
        <w:rPr>
          <w:rFonts w:ascii="方正黑体_GBK" w:hAnsi="方正黑体_GBK" w:eastAsia="方正黑体_GBK" w:cs="方正黑体_GBK"/>
          <w:bCs/>
          <w:color w:val="000000" w:themeColor="text1"/>
          <w:kern w:val="21"/>
          <w:sz w:val="28"/>
          <w:szCs w:val="28"/>
        </w:rPr>
      </w:pPr>
      <w:r>
        <w:rPr>
          <w:rFonts w:hint="eastAsia" w:ascii="方正黑体_GBK" w:hAnsi="方正黑体_GBK" w:eastAsia="方正黑体_GBK" w:cs="方正黑体_GBK"/>
          <w:bCs/>
          <w:color w:val="000000" w:themeColor="text1"/>
          <w:kern w:val="21"/>
          <w:sz w:val="28"/>
          <w:szCs w:val="28"/>
        </w:rPr>
        <w:t>图1 “强基、善治、惠民、兴业”数字玉林建设总体目标</w:t>
      </w:r>
    </w:p>
    <w:p>
      <w:pPr>
        <w:spacing w:line="600" w:lineRule="exact"/>
        <w:ind w:firstLine="643" w:firstLineChars="200"/>
        <w:rPr>
          <w:rFonts w:ascii="仿宋_GB2312" w:hAnsi="仿宋" w:eastAsia="仿宋_GB2312"/>
          <w:color w:val="000000" w:themeColor="text1"/>
          <w:kern w:val="0"/>
          <w:sz w:val="32"/>
          <w:szCs w:val="32"/>
        </w:rPr>
      </w:pPr>
      <w:r>
        <w:rPr>
          <w:rFonts w:hint="eastAsia" w:ascii="楷体_GB2312" w:hAnsi="楷体_GB2312" w:eastAsia="楷体_GB2312"/>
          <w:b/>
          <w:bCs/>
          <w:color w:val="000000" w:themeColor="text1"/>
          <w:kern w:val="0"/>
          <w:sz w:val="32"/>
          <w:szCs w:val="32"/>
        </w:rPr>
        <w:t>数字基础设施全面升级。</w:t>
      </w:r>
      <w:r>
        <w:rPr>
          <w:rFonts w:hint="eastAsia" w:ascii="仿宋_GB2312" w:eastAsia="仿宋_GB2312"/>
          <w:color w:val="000000" w:themeColor="text1"/>
          <w:kern w:val="0"/>
          <w:sz w:val="32"/>
          <w:szCs w:val="32"/>
        </w:rPr>
        <w:t>全市新型数字基础设施建设达到区域领先水平，光纤入户水平大幅提升，城乡普遍提供千兆级接入能力，</w:t>
      </w:r>
      <w:r>
        <w:rPr>
          <w:rFonts w:eastAsia="仿宋_GB2312"/>
          <w:color w:val="000000" w:themeColor="text1"/>
          <w:kern w:val="0"/>
          <w:sz w:val="32"/>
          <w:szCs w:val="32"/>
        </w:rPr>
        <w:t>5G网络实现全市域覆盖，IPv6、工</w:t>
      </w:r>
      <w:r>
        <w:rPr>
          <w:rFonts w:hint="eastAsia" w:ascii="仿宋_GB2312" w:eastAsia="仿宋_GB2312"/>
          <w:color w:val="000000" w:themeColor="text1"/>
          <w:kern w:val="0"/>
          <w:sz w:val="32"/>
          <w:szCs w:val="32"/>
        </w:rPr>
        <w:t>业互联网、能源互联网、车联网等融合基础设施建设成效显著，数据中心计算能力、服务能力、应用能力位列自治区前列。</w:t>
      </w:r>
    </w:p>
    <w:p>
      <w:pPr>
        <w:spacing w:line="600" w:lineRule="exact"/>
        <w:ind w:firstLine="643" w:firstLineChars="200"/>
        <w:rPr>
          <w:rFonts w:ascii="仿宋_GB2312" w:hAnsi="仿宋" w:eastAsia="仿宋_GB2312"/>
          <w:color w:val="000000" w:themeColor="text1"/>
          <w:kern w:val="0"/>
          <w:sz w:val="32"/>
          <w:szCs w:val="32"/>
        </w:rPr>
      </w:pPr>
      <w:r>
        <w:rPr>
          <w:rFonts w:hint="eastAsia" w:ascii="楷体_GB2312" w:hAnsi="楷体_GB2312" w:eastAsia="楷体_GB2312"/>
          <w:b/>
          <w:bCs/>
          <w:color w:val="000000" w:themeColor="text1"/>
          <w:kern w:val="0"/>
          <w:sz w:val="32"/>
          <w:szCs w:val="32"/>
        </w:rPr>
        <w:t>智慧中枢高效运转。</w:t>
      </w:r>
      <w:r>
        <w:rPr>
          <w:rFonts w:hint="eastAsia" w:ascii="仿宋_GB2312" w:hAnsi="仿宋" w:eastAsia="仿宋_GB2312"/>
          <w:color w:val="000000" w:themeColor="text1"/>
          <w:kern w:val="0"/>
          <w:sz w:val="32"/>
          <w:szCs w:val="32"/>
        </w:rPr>
        <w:t>城市数据资源实时全量汇聚，数据资源“一池共享”和知识图谱分析能力大幅提升，</w:t>
      </w:r>
      <w:r>
        <w:rPr>
          <w:rFonts w:hint="eastAsia" w:ascii="仿宋_GB2312" w:eastAsia="仿宋_GB2312"/>
          <w:color w:val="000000" w:themeColor="text1"/>
          <w:kern w:val="0"/>
          <w:sz w:val="32"/>
          <w:szCs w:val="32"/>
        </w:rPr>
        <w:t>实现政务、经济、社会数据汇聚共享、融合应用。</w:t>
      </w:r>
      <w:r>
        <w:rPr>
          <w:rFonts w:hint="eastAsia" w:ascii="仿宋_GB2312" w:hAnsi="仿宋" w:eastAsia="仿宋_GB2312"/>
          <w:color w:val="000000" w:themeColor="text1"/>
          <w:kern w:val="0"/>
          <w:sz w:val="32"/>
          <w:szCs w:val="32"/>
        </w:rPr>
        <w:t>城市公共资源配置更加优化，城市治理、服务和产业发展模式创新，实现城市运行“一网统管”。</w:t>
      </w:r>
    </w:p>
    <w:p>
      <w:pPr>
        <w:spacing w:line="600" w:lineRule="exact"/>
        <w:ind w:firstLine="643" w:firstLineChars="200"/>
        <w:rPr>
          <w:rFonts w:ascii="仿宋_GB2312" w:hAnsi="仿宋" w:eastAsia="仿宋_GB2312"/>
          <w:color w:val="000000" w:themeColor="text1"/>
          <w:kern w:val="0"/>
          <w:sz w:val="32"/>
          <w:szCs w:val="32"/>
        </w:rPr>
      </w:pPr>
      <w:r>
        <w:rPr>
          <w:rFonts w:hint="eastAsia" w:ascii="楷体_GB2312" w:hAnsi="楷体_GB2312" w:eastAsia="楷体_GB2312"/>
          <w:b/>
          <w:bCs/>
          <w:color w:val="000000" w:themeColor="text1"/>
          <w:kern w:val="0"/>
          <w:sz w:val="32"/>
          <w:szCs w:val="32"/>
        </w:rPr>
        <w:t>数字政府高效协同。</w:t>
      </w:r>
      <w:r>
        <w:rPr>
          <w:rFonts w:hint="eastAsia" w:ascii="仿宋_GB2312" w:hAnsi="仿宋" w:eastAsia="仿宋_GB2312"/>
          <w:color w:val="000000" w:themeColor="text1"/>
          <w:kern w:val="0"/>
          <w:sz w:val="32"/>
          <w:szCs w:val="32"/>
        </w:rPr>
        <w:t>数字技术在政务服务和政务运行各领域普及应用，数据驱动政务服务和政务运行的新模式基本形成，政务服务由网上掌上“可办”转向“好办、易办”，“互联网+政务服务”水平大幅提高，“智桂通”重点应用服务事项数以及数字政府服务满意度处于自治区前列，政府科学决策能力明显提升。</w:t>
      </w:r>
    </w:p>
    <w:p>
      <w:pPr>
        <w:spacing w:line="600" w:lineRule="exact"/>
        <w:ind w:firstLine="643" w:firstLineChars="200"/>
        <w:rPr>
          <w:rFonts w:ascii="仿宋_GB2312" w:hAnsi="仿宋" w:eastAsia="仿宋_GB2312"/>
          <w:color w:val="000000" w:themeColor="text1"/>
          <w:kern w:val="0"/>
          <w:sz w:val="32"/>
          <w:szCs w:val="32"/>
        </w:rPr>
      </w:pPr>
      <w:r>
        <w:rPr>
          <w:rFonts w:hint="eastAsia" w:ascii="楷体_GB2312" w:hAnsi="楷体_GB2312" w:eastAsia="楷体_GB2312"/>
          <w:b/>
          <w:bCs/>
          <w:color w:val="000000" w:themeColor="text1"/>
          <w:kern w:val="0"/>
          <w:sz w:val="32"/>
          <w:szCs w:val="32"/>
        </w:rPr>
        <w:t>数字社会普惠便捷。</w:t>
      </w:r>
      <w:r>
        <w:rPr>
          <w:rFonts w:hint="eastAsia" w:ascii="仿宋_GB2312" w:hAnsi="仿宋" w:eastAsia="仿宋_GB2312"/>
          <w:color w:val="000000" w:themeColor="text1"/>
          <w:kern w:val="0"/>
          <w:sz w:val="32"/>
          <w:szCs w:val="32"/>
        </w:rPr>
        <w:t>教育、医疗、应急、治安、环保、社保等领域数字化建设取得明显成效，数字技术与传统公共服务加速融合，覆盖全市、全城通办的一体化、多层次、高质量的“互联网+政务服务”体系基本建成。</w:t>
      </w:r>
      <w:r>
        <w:rPr>
          <w:rFonts w:eastAsia="仿宋_GB2312"/>
          <w:color w:val="000000" w:themeColor="text1"/>
          <w:kern w:val="0"/>
          <w:sz w:val="32"/>
          <w:szCs w:val="32"/>
        </w:rPr>
        <w:t>到2025</w:t>
      </w:r>
      <w:r>
        <w:rPr>
          <w:rFonts w:hint="eastAsia" w:ascii="仿宋_GB2312" w:eastAsia="仿宋_GB2312"/>
          <w:color w:val="000000" w:themeColor="text1"/>
          <w:kern w:val="0"/>
          <w:sz w:val="32"/>
          <w:szCs w:val="32"/>
        </w:rPr>
        <w:t>年，</w:t>
      </w:r>
      <w:r>
        <w:rPr>
          <w:rFonts w:hint="eastAsia" w:ascii="仿宋_GB2312" w:hAnsi="仿宋" w:eastAsia="仿宋_GB2312"/>
          <w:color w:val="000000" w:themeColor="text1"/>
          <w:kern w:val="0"/>
          <w:sz w:val="32"/>
          <w:szCs w:val="32"/>
        </w:rPr>
        <w:t>城市智能化运</w:t>
      </w:r>
      <w:r>
        <w:rPr>
          <w:rFonts w:eastAsia="仿宋_GB2312"/>
          <w:color w:val="000000" w:themeColor="text1"/>
          <w:kern w:val="0"/>
          <w:sz w:val="32"/>
          <w:szCs w:val="32"/>
        </w:rPr>
        <w:t>行水平显著提高，乡村数字化转型成效明显，数字服务渗透率显著提升。</w:t>
      </w:r>
    </w:p>
    <w:p>
      <w:pPr>
        <w:spacing w:line="600" w:lineRule="exact"/>
        <w:ind w:firstLine="643" w:firstLineChars="200"/>
        <w:rPr>
          <w:color w:val="000000" w:themeColor="text1"/>
        </w:rPr>
      </w:pPr>
      <w:r>
        <w:rPr>
          <w:rFonts w:hint="eastAsia" w:ascii="楷体_GB2312" w:hAnsi="楷体_GB2312" w:eastAsia="楷体_GB2312"/>
          <w:b/>
          <w:bCs/>
          <w:color w:val="000000" w:themeColor="text1"/>
          <w:kern w:val="0"/>
          <w:sz w:val="32"/>
          <w:szCs w:val="32"/>
        </w:rPr>
        <w:t>数字经济稳步发展。</w:t>
      </w:r>
      <w:r>
        <w:rPr>
          <w:rFonts w:hint="eastAsia" w:ascii="仿宋_GB2312" w:hAnsi="仿宋" w:eastAsia="仿宋_GB2312"/>
          <w:color w:val="000000" w:themeColor="text1"/>
          <w:kern w:val="0"/>
          <w:sz w:val="32"/>
          <w:szCs w:val="32"/>
        </w:rPr>
        <w:t>电子计算机、通信设备、数字化产品、集成电路与新型电子元器件等信息技术产业规模进一步壮大，产业发展水平位居自治区内前列。数字技术与装备制造、新材料、中医药、纺织服装、消费品轻工业等优势特色工业深度融合，全面推动数字贸易、数字金融、智慧物流、数字农业等创新发展，数字经济产业生态体系基本建立。</w:t>
      </w:r>
      <w:r>
        <w:rPr>
          <w:rFonts w:hint="eastAsia" w:ascii="仿宋_GB2312" w:eastAsia="仿宋_GB2312"/>
          <w:bCs/>
          <w:color w:val="000000" w:themeColor="text1"/>
          <w:kern w:val="21"/>
          <w:sz w:val="32"/>
          <w:szCs w:val="32"/>
        </w:rPr>
        <w:t>与粤港澳大湾区、北部湾城市群以及桂东粤西等周边城市数字</w:t>
      </w:r>
      <w:r>
        <w:rPr>
          <w:rFonts w:eastAsia="仿宋_GB2312"/>
          <w:bCs/>
          <w:color w:val="000000" w:themeColor="text1"/>
          <w:kern w:val="21"/>
          <w:sz w:val="32"/>
          <w:szCs w:val="32"/>
        </w:rPr>
        <w:t>合作迈向新台阶，产业转移规模及科技含量快速提升。</w:t>
      </w:r>
    </w:p>
    <w:p>
      <w:pPr>
        <w:pStyle w:val="19"/>
        <w:adjustRightInd w:val="0"/>
        <w:snapToGrid w:val="0"/>
        <w:spacing w:before="0" w:beforeAutospacing="0" w:after="0" w:afterAutospacing="0" w:line="590" w:lineRule="exact"/>
        <w:jc w:val="center"/>
        <w:rPr>
          <w:rFonts w:ascii="方正黑体_GBK" w:hAnsi="方正黑体_GBK" w:eastAsia="方正黑体_GBK" w:cs="方正黑体_GBK"/>
          <w:bCs/>
          <w:color w:val="000000" w:themeColor="text1"/>
          <w:kern w:val="21"/>
          <w:sz w:val="28"/>
          <w:szCs w:val="28"/>
        </w:rPr>
      </w:pPr>
      <w:r>
        <w:rPr>
          <w:rFonts w:hint="eastAsia" w:ascii="方正黑体_GBK" w:hAnsi="方正黑体_GBK" w:eastAsia="方正黑体_GBK" w:cs="方正黑体_GBK"/>
          <w:bCs/>
          <w:color w:val="000000" w:themeColor="text1"/>
          <w:kern w:val="21"/>
          <w:sz w:val="28"/>
          <w:szCs w:val="28"/>
        </w:rPr>
        <w:t>“十四五”时期数字玉林发展主要指标</w:t>
      </w:r>
    </w:p>
    <w:tbl>
      <w:tblPr>
        <w:tblStyle w:val="21"/>
        <w:tblW w:w="10060" w:type="dxa"/>
        <w:jc w:val="center"/>
        <w:tblLayout w:type="fixed"/>
        <w:tblCellMar>
          <w:top w:w="11" w:type="dxa"/>
          <w:left w:w="11" w:type="dxa"/>
          <w:bottom w:w="11" w:type="dxa"/>
          <w:right w:w="11" w:type="dxa"/>
        </w:tblCellMar>
      </w:tblPr>
      <w:tblGrid>
        <w:gridCol w:w="7083"/>
        <w:gridCol w:w="992"/>
        <w:gridCol w:w="992"/>
        <w:gridCol w:w="993"/>
      </w:tblGrid>
      <w:tr>
        <w:tblPrEx>
          <w:tblCellMar>
            <w:top w:w="11" w:type="dxa"/>
            <w:left w:w="11" w:type="dxa"/>
            <w:bottom w:w="11" w:type="dxa"/>
            <w:right w:w="11" w:type="dxa"/>
          </w:tblCellMar>
        </w:tblPrEx>
        <w:trPr>
          <w:trHeight w:val="454" w:hRule="atLeast"/>
          <w:tblHeader/>
          <w:jc w:val="center"/>
        </w:trPr>
        <w:tc>
          <w:tcPr>
            <w:tcW w:w="7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jc w:val="center"/>
              <w:rPr>
                <w:rFonts w:eastAsia="仿宋_GB2312"/>
                <w:b/>
                <w:color w:val="000000" w:themeColor="text1"/>
                <w:kern w:val="21"/>
                <w:sz w:val="28"/>
                <w:szCs w:val="28"/>
              </w:rPr>
            </w:pPr>
            <w:r>
              <w:rPr>
                <w:rFonts w:eastAsia="仿宋_GB2312"/>
                <w:b/>
                <w:color w:val="000000" w:themeColor="text1"/>
                <w:kern w:val="21"/>
                <w:sz w:val="28"/>
                <w:szCs w:val="28"/>
              </w:rPr>
              <w:t>指  标</w:t>
            </w: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jc w:val="center"/>
              <w:rPr>
                <w:rFonts w:eastAsia="仿宋_GB2312"/>
                <w:b/>
                <w:color w:val="000000" w:themeColor="text1"/>
                <w:kern w:val="21"/>
                <w:sz w:val="28"/>
                <w:szCs w:val="28"/>
              </w:rPr>
            </w:pPr>
            <w:r>
              <w:rPr>
                <w:rFonts w:eastAsia="仿宋_GB2312"/>
                <w:b/>
                <w:color w:val="000000" w:themeColor="text1"/>
                <w:kern w:val="21"/>
                <w:sz w:val="28"/>
                <w:szCs w:val="28"/>
              </w:rPr>
              <w:t>2020年</w:t>
            </w: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jc w:val="center"/>
              <w:rPr>
                <w:rFonts w:eastAsia="仿宋_GB2312"/>
                <w:b/>
                <w:color w:val="000000" w:themeColor="text1"/>
                <w:kern w:val="21"/>
                <w:sz w:val="28"/>
                <w:szCs w:val="28"/>
              </w:rPr>
            </w:pPr>
            <w:r>
              <w:rPr>
                <w:rFonts w:eastAsia="仿宋_GB2312"/>
                <w:b/>
                <w:color w:val="000000" w:themeColor="text1"/>
                <w:kern w:val="21"/>
                <w:sz w:val="28"/>
                <w:szCs w:val="28"/>
              </w:rPr>
              <w:t>2023年</w:t>
            </w:r>
          </w:p>
        </w:tc>
        <w:tc>
          <w:tcPr>
            <w:tcW w:w="9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eastAsia="仿宋_GB2312"/>
                <w:b/>
                <w:color w:val="000000" w:themeColor="text1"/>
                <w:kern w:val="21"/>
                <w:sz w:val="28"/>
                <w:szCs w:val="28"/>
              </w:rPr>
            </w:pPr>
            <w:r>
              <w:rPr>
                <w:rFonts w:eastAsia="仿宋_GB2312"/>
                <w:b/>
                <w:color w:val="000000" w:themeColor="text1"/>
                <w:kern w:val="21"/>
                <w:sz w:val="28"/>
                <w:szCs w:val="28"/>
              </w:rPr>
              <w:t>2025年</w:t>
            </w:r>
          </w:p>
        </w:tc>
      </w:tr>
      <w:tr>
        <w:tblPrEx>
          <w:tblCellMar>
            <w:top w:w="11" w:type="dxa"/>
            <w:left w:w="11" w:type="dxa"/>
            <w:bottom w:w="11" w:type="dxa"/>
            <w:right w:w="11" w:type="dxa"/>
          </w:tblCellMar>
        </w:tblPrEx>
        <w:trPr>
          <w:trHeight w:val="454" w:hRule="atLeast"/>
          <w:jc w:val="center"/>
        </w:trPr>
        <w:tc>
          <w:tcPr>
            <w:tcW w:w="10060"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b/>
                <w:color w:val="000000" w:themeColor="text1"/>
                <w:kern w:val="21"/>
                <w:sz w:val="28"/>
                <w:szCs w:val="28"/>
              </w:rPr>
            </w:pPr>
            <w:r>
              <w:rPr>
                <w:rFonts w:eastAsia="仿宋_GB2312"/>
                <w:b/>
                <w:color w:val="000000" w:themeColor="text1"/>
                <w:kern w:val="21"/>
                <w:sz w:val="28"/>
                <w:szCs w:val="28"/>
              </w:rPr>
              <w:t>数字新基建</w:t>
            </w:r>
          </w:p>
        </w:tc>
      </w:tr>
      <w:tr>
        <w:tblPrEx>
          <w:tblCellMar>
            <w:top w:w="11" w:type="dxa"/>
            <w:left w:w="11" w:type="dxa"/>
            <w:bottom w:w="11" w:type="dxa"/>
            <w:right w:w="11" w:type="dxa"/>
          </w:tblCellMar>
        </w:tblPrEx>
        <w:trPr>
          <w:trHeight w:val="454" w:hRule="atLeast"/>
          <w:jc w:val="center"/>
        </w:trPr>
        <w:tc>
          <w:tcPr>
            <w:tcW w:w="7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r>
              <w:rPr>
                <w:rFonts w:eastAsia="仿宋_GB2312"/>
                <w:color w:val="000000" w:themeColor="text1"/>
                <w:kern w:val="21"/>
                <w:sz w:val="28"/>
                <w:szCs w:val="28"/>
              </w:rPr>
              <w:t>5G基站数（万个）</w:t>
            </w: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tcPr>
          <w:p>
            <w:pPr>
              <w:adjustRightInd w:val="0"/>
              <w:snapToGrid w:val="0"/>
              <w:jc w:val="center"/>
              <w:rPr>
                <w:rFonts w:eastAsia="仿宋_GB2312"/>
                <w:color w:val="000000" w:themeColor="text1"/>
                <w:kern w:val="21"/>
                <w:sz w:val="28"/>
                <w:szCs w:val="28"/>
              </w:rPr>
            </w:pPr>
            <w:r>
              <w:rPr>
                <w:rFonts w:eastAsia="仿宋_GB2312"/>
                <w:color w:val="000000" w:themeColor="text1"/>
                <w:kern w:val="21"/>
                <w:sz w:val="28"/>
                <w:szCs w:val="28"/>
              </w:rPr>
              <w:t>1.3</w:t>
            </w: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tcPr>
          <w:p>
            <w:pPr>
              <w:adjustRightInd w:val="0"/>
              <w:snapToGrid w:val="0"/>
              <w:jc w:val="center"/>
              <w:rPr>
                <w:rFonts w:eastAsia="仿宋_GB2312"/>
                <w:color w:val="000000" w:themeColor="text1"/>
                <w:kern w:val="21"/>
                <w:sz w:val="28"/>
                <w:szCs w:val="28"/>
              </w:rPr>
            </w:pPr>
            <w:r>
              <w:rPr>
                <w:rFonts w:eastAsia="仿宋_GB2312"/>
                <w:color w:val="000000" w:themeColor="text1"/>
                <w:kern w:val="21"/>
                <w:sz w:val="28"/>
                <w:szCs w:val="28"/>
              </w:rPr>
              <w:t>0.6</w:t>
            </w:r>
          </w:p>
        </w:tc>
        <w:tc>
          <w:tcPr>
            <w:tcW w:w="993" w:type="dxa"/>
            <w:tcBorders>
              <w:top w:val="single" w:color="000000" w:sz="4" w:space="0"/>
              <w:left w:val="single" w:color="000000" w:sz="4" w:space="0"/>
              <w:bottom w:val="single" w:color="000000" w:sz="4" w:space="0"/>
              <w:right w:val="single" w:color="000000" w:sz="4" w:space="0"/>
            </w:tcBorders>
          </w:tcPr>
          <w:p>
            <w:pPr>
              <w:adjustRightInd w:val="0"/>
              <w:snapToGrid w:val="0"/>
              <w:jc w:val="center"/>
              <w:rPr>
                <w:rFonts w:eastAsia="仿宋_GB2312"/>
                <w:color w:val="000000" w:themeColor="text1"/>
                <w:kern w:val="21"/>
                <w:sz w:val="28"/>
                <w:szCs w:val="28"/>
              </w:rPr>
            </w:pPr>
            <w:r>
              <w:rPr>
                <w:rFonts w:eastAsia="仿宋_GB2312"/>
                <w:color w:val="000000" w:themeColor="text1"/>
                <w:kern w:val="21"/>
                <w:sz w:val="28"/>
                <w:szCs w:val="28"/>
              </w:rPr>
              <w:t>1.4</w:t>
            </w:r>
          </w:p>
        </w:tc>
      </w:tr>
      <w:tr>
        <w:tblPrEx>
          <w:tblCellMar>
            <w:top w:w="11" w:type="dxa"/>
            <w:left w:w="11" w:type="dxa"/>
            <w:bottom w:w="11" w:type="dxa"/>
            <w:right w:w="11" w:type="dxa"/>
          </w:tblCellMar>
        </w:tblPrEx>
        <w:trPr>
          <w:trHeight w:val="454" w:hRule="atLeast"/>
          <w:jc w:val="center"/>
        </w:trPr>
        <w:tc>
          <w:tcPr>
            <w:tcW w:w="7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r>
              <w:rPr>
                <w:rFonts w:eastAsia="仿宋_GB2312"/>
                <w:color w:val="000000" w:themeColor="text1"/>
                <w:kern w:val="21"/>
                <w:sz w:val="28"/>
                <w:szCs w:val="28"/>
              </w:rPr>
              <w:t>5G用户占比（%）</w:t>
            </w: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tcPr>
          <w:p>
            <w:pPr>
              <w:adjustRightInd w:val="0"/>
              <w:snapToGrid w:val="0"/>
              <w:jc w:val="center"/>
              <w:rPr>
                <w:rFonts w:eastAsia="仿宋_GB2312"/>
                <w:color w:val="000000" w:themeColor="text1"/>
                <w:kern w:val="21"/>
                <w:sz w:val="28"/>
                <w:szCs w:val="28"/>
              </w:rPr>
            </w:pPr>
            <w:r>
              <w:rPr>
                <w:rFonts w:eastAsia="仿宋_GB2312"/>
                <w:color w:val="000000" w:themeColor="text1"/>
                <w:kern w:val="21"/>
                <w:sz w:val="28"/>
                <w:szCs w:val="28"/>
              </w:rPr>
              <w:t>17.2</w:t>
            </w: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tcPr>
          <w:p>
            <w:pPr>
              <w:adjustRightInd w:val="0"/>
              <w:snapToGrid w:val="0"/>
              <w:jc w:val="center"/>
              <w:rPr>
                <w:rFonts w:eastAsia="仿宋_GB2312"/>
                <w:color w:val="000000" w:themeColor="text1"/>
                <w:kern w:val="21"/>
                <w:sz w:val="28"/>
                <w:szCs w:val="28"/>
              </w:rPr>
            </w:pPr>
            <w:r>
              <w:rPr>
                <w:rFonts w:eastAsia="仿宋_GB2312"/>
                <w:color w:val="000000" w:themeColor="text1"/>
                <w:kern w:val="21"/>
                <w:sz w:val="28"/>
                <w:szCs w:val="28"/>
              </w:rPr>
              <w:t>35</w:t>
            </w:r>
          </w:p>
        </w:tc>
        <w:tc>
          <w:tcPr>
            <w:tcW w:w="993" w:type="dxa"/>
            <w:tcBorders>
              <w:top w:val="single" w:color="000000" w:sz="4" w:space="0"/>
              <w:left w:val="single" w:color="000000" w:sz="4" w:space="0"/>
              <w:bottom w:val="single" w:color="000000" w:sz="4" w:space="0"/>
              <w:right w:val="single" w:color="000000" w:sz="4" w:space="0"/>
            </w:tcBorders>
          </w:tcPr>
          <w:p>
            <w:pPr>
              <w:adjustRightInd w:val="0"/>
              <w:snapToGrid w:val="0"/>
              <w:jc w:val="center"/>
              <w:rPr>
                <w:rFonts w:eastAsia="仿宋_GB2312"/>
                <w:color w:val="000000" w:themeColor="text1"/>
                <w:kern w:val="21"/>
                <w:sz w:val="28"/>
                <w:szCs w:val="28"/>
              </w:rPr>
            </w:pPr>
            <w:r>
              <w:rPr>
                <w:rFonts w:eastAsia="仿宋_GB2312"/>
                <w:color w:val="000000" w:themeColor="text1"/>
                <w:kern w:val="21"/>
                <w:sz w:val="28"/>
                <w:szCs w:val="28"/>
              </w:rPr>
              <w:t>65</w:t>
            </w:r>
          </w:p>
        </w:tc>
      </w:tr>
      <w:tr>
        <w:tblPrEx>
          <w:tblCellMar>
            <w:top w:w="11" w:type="dxa"/>
            <w:left w:w="11" w:type="dxa"/>
            <w:bottom w:w="11" w:type="dxa"/>
            <w:right w:w="11" w:type="dxa"/>
          </w:tblCellMar>
        </w:tblPrEx>
        <w:trPr>
          <w:trHeight w:val="49" w:hRule="atLeast"/>
          <w:jc w:val="center"/>
        </w:trPr>
        <w:tc>
          <w:tcPr>
            <w:tcW w:w="7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r>
              <w:rPr>
                <w:rFonts w:eastAsia="仿宋_GB2312"/>
                <w:color w:val="000000" w:themeColor="text1"/>
                <w:kern w:val="21"/>
                <w:sz w:val="28"/>
                <w:szCs w:val="28"/>
              </w:rPr>
              <w:t>千兆光纤用户数（万户）</w:t>
            </w: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tcPr>
          <w:p>
            <w:pPr>
              <w:adjustRightInd w:val="0"/>
              <w:snapToGrid w:val="0"/>
              <w:jc w:val="center"/>
              <w:rPr>
                <w:rFonts w:eastAsia="仿宋_GB2312"/>
                <w:color w:val="000000" w:themeColor="text1"/>
                <w:kern w:val="21"/>
                <w:sz w:val="28"/>
                <w:szCs w:val="28"/>
              </w:rPr>
            </w:pPr>
            <w:r>
              <w:rPr>
                <w:rFonts w:eastAsia="仿宋_GB2312"/>
                <w:color w:val="000000" w:themeColor="text1"/>
                <w:kern w:val="21"/>
                <w:sz w:val="28"/>
                <w:szCs w:val="28"/>
              </w:rPr>
              <w:t>18.1</w:t>
            </w: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tcPr>
          <w:p>
            <w:pPr>
              <w:adjustRightInd w:val="0"/>
              <w:snapToGrid w:val="0"/>
              <w:jc w:val="center"/>
              <w:rPr>
                <w:rFonts w:eastAsia="仿宋_GB2312"/>
                <w:color w:val="000000" w:themeColor="text1"/>
                <w:kern w:val="21"/>
                <w:sz w:val="28"/>
                <w:szCs w:val="28"/>
              </w:rPr>
            </w:pPr>
            <w:r>
              <w:rPr>
                <w:rFonts w:eastAsia="仿宋_GB2312"/>
                <w:color w:val="000000" w:themeColor="text1"/>
                <w:kern w:val="21"/>
                <w:sz w:val="28"/>
                <w:szCs w:val="28"/>
              </w:rPr>
              <w:t>45</w:t>
            </w:r>
          </w:p>
        </w:tc>
        <w:tc>
          <w:tcPr>
            <w:tcW w:w="993" w:type="dxa"/>
            <w:tcBorders>
              <w:top w:val="single" w:color="000000" w:sz="4" w:space="0"/>
              <w:left w:val="single" w:color="000000" w:sz="4" w:space="0"/>
              <w:bottom w:val="single" w:color="000000" w:sz="4" w:space="0"/>
              <w:right w:val="single" w:color="000000" w:sz="4" w:space="0"/>
            </w:tcBorders>
          </w:tcPr>
          <w:p>
            <w:pPr>
              <w:adjustRightInd w:val="0"/>
              <w:snapToGrid w:val="0"/>
              <w:jc w:val="center"/>
              <w:rPr>
                <w:rFonts w:eastAsia="仿宋_GB2312"/>
                <w:color w:val="000000" w:themeColor="text1"/>
                <w:kern w:val="21"/>
                <w:sz w:val="28"/>
                <w:szCs w:val="28"/>
              </w:rPr>
            </w:pPr>
            <w:r>
              <w:rPr>
                <w:rFonts w:eastAsia="仿宋_GB2312"/>
                <w:color w:val="000000" w:themeColor="text1"/>
                <w:kern w:val="21"/>
                <w:sz w:val="28"/>
                <w:szCs w:val="28"/>
              </w:rPr>
              <w:t>99.1</w:t>
            </w:r>
          </w:p>
        </w:tc>
      </w:tr>
      <w:tr>
        <w:tblPrEx>
          <w:tblCellMar>
            <w:top w:w="11" w:type="dxa"/>
            <w:left w:w="11" w:type="dxa"/>
            <w:bottom w:w="11" w:type="dxa"/>
            <w:right w:w="11" w:type="dxa"/>
          </w:tblCellMar>
        </w:tblPrEx>
        <w:trPr>
          <w:trHeight w:val="454" w:hRule="atLeast"/>
          <w:jc w:val="center"/>
        </w:trPr>
        <w:tc>
          <w:tcPr>
            <w:tcW w:w="7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r>
              <w:rPr>
                <w:rFonts w:eastAsia="仿宋_GB2312"/>
                <w:color w:val="000000" w:themeColor="text1"/>
                <w:kern w:val="21"/>
                <w:sz w:val="28"/>
                <w:szCs w:val="28"/>
              </w:rPr>
              <w:t>工业互联网标识解析公共服务节点数（个）</w:t>
            </w: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jc w:val="center"/>
              <w:rPr>
                <w:rFonts w:eastAsia="仿宋_GB2312"/>
                <w:color w:val="000000" w:themeColor="text1"/>
                <w:kern w:val="21"/>
                <w:sz w:val="28"/>
                <w:szCs w:val="28"/>
              </w:rPr>
            </w:pP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jc w:val="center"/>
              <w:rPr>
                <w:rFonts w:eastAsia="仿宋_GB2312"/>
                <w:color w:val="000000" w:themeColor="text1"/>
                <w:kern w:val="21"/>
                <w:sz w:val="28"/>
                <w:szCs w:val="28"/>
              </w:rPr>
            </w:pPr>
          </w:p>
        </w:tc>
        <w:tc>
          <w:tcPr>
            <w:tcW w:w="9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eastAsia="仿宋_GB2312"/>
                <w:color w:val="000000" w:themeColor="text1"/>
                <w:kern w:val="21"/>
                <w:sz w:val="28"/>
                <w:szCs w:val="28"/>
              </w:rPr>
            </w:pPr>
          </w:p>
        </w:tc>
      </w:tr>
      <w:tr>
        <w:tblPrEx>
          <w:tblCellMar>
            <w:top w:w="11" w:type="dxa"/>
            <w:left w:w="11" w:type="dxa"/>
            <w:bottom w:w="11" w:type="dxa"/>
            <w:right w:w="11" w:type="dxa"/>
          </w:tblCellMar>
        </w:tblPrEx>
        <w:trPr>
          <w:trHeight w:val="454" w:hRule="atLeast"/>
          <w:jc w:val="center"/>
        </w:trPr>
        <w:tc>
          <w:tcPr>
            <w:tcW w:w="7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r>
              <w:rPr>
                <w:rFonts w:eastAsia="仿宋_GB2312"/>
                <w:color w:val="000000" w:themeColor="text1"/>
                <w:kern w:val="0"/>
                <w:sz w:val="28"/>
                <w:szCs w:val="28"/>
              </w:rPr>
              <w:t>城镇家庭宽带接入速率（Mbps）</w:t>
            </w: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jc w:val="center"/>
              <w:rPr>
                <w:rFonts w:eastAsia="仿宋_GB2312"/>
                <w:color w:val="000000" w:themeColor="text1"/>
                <w:kern w:val="21"/>
                <w:sz w:val="28"/>
                <w:szCs w:val="28"/>
              </w:rPr>
            </w:pPr>
            <w:r>
              <w:rPr>
                <w:rFonts w:eastAsia="仿宋_GB2312"/>
                <w:color w:val="000000" w:themeColor="text1"/>
                <w:kern w:val="21"/>
                <w:sz w:val="28"/>
                <w:szCs w:val="28"/>
              </w:rPr>
              <w:t>&gt;150</w:t>
            </w: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jc w:val="center"/>
              <w:rPr>
                <w:rFonts w:eastAsia="仿宋_GB2312"/>
                <w:color w:val="000000" w:themeColor="text1"/>
                <w:kern w:val="21"/>
                <w:sz w:val="28"/>
                <w:szCs w:val="28"/>
              </w:rPr>
            </w:pPr>
            <w:r>
              <w:rPr>
                <w:rFonts w:eastAsia="仿宋_GB2312"/>
                <w:color w:val="000000" w:themeColor="text1"/>
                <w:kern w:val="21"/>
                <w:sz w:val="28"/>
                <w:szCs w:val="28"/>
              </w:rPr>
              <w:t>&gt;150</w:t>
            </w:r>
          </w:p>
        </w:tc>
        <w:tc>
          <w:tcPr>
            <w:tcW w:w="9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eastAsia="仿宋_GB2312"/>
                <w:color w:val="000000" w:themeColor="text1"/>
                <w:kern w:val="21"/>
                <w:sz w:val="28"/>
                <w:szCs w:val="28"/>
              </w:rPr>
            </w:pPr>
            <w:r>
              <w:rPr>
                <w:rFonts w:eastAsia="仿宋_GB2312"/>
                <w:color w:val="000000" w:themeColor="text1"/>
                <w:kern w:val="21"/>
                <w:sz w:val="28"/>
                <w:szCs w:val="28"/>
              </w:rPr>
              <w:t>&gt;200</w:t>
            </w:r>
          </w:p>
        </w:tc>
      </w:tr>
      <w:tr>
        <w:tblPrEx>
          <w:tblCellMar>
            <w:top w:w="11" w:type="dxa"/>
            <w:left w:w="11" w:type="dxa"/>
            <w:bottom w:w="11" w:type="dxa"/>
            <w:right w:w="11" w:type="dxa"/>
          </w:tblCellMar>
        </w:tblPrEx>
        <w:trPr>
          <w:trHeight w:val="454" w:hRule="atLeast"/>
          <w:jc w:val="center"/>
        </w:trPr>
        <w:tc>
          <w:tcPr>
            <w:tcW w:w="10060"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b/>
                <w:color w:val="000000" w:themeColor="text1"/>
                <w:kern w:val="21"/>
                <w:sz w:val="28"/>
                <w:szCs w:val="28"/>
              </w:rPr>
            </w:pPr>
            <w:r>
              <w:rPr>
                <w:rFonts w:eastAsia="仿宋_GB2312"/>
                <w:b/>
                <w:color w:val="000000" w:themeColor="text1"/>
                <w:kern w:val="21"/>
                <w:sz w:val="28"/>
                <w:szCs w:val="28"/>
              </w:rPr>
              <w:t>数据资源</w:t>
            </w:r>
          </w:p>
        </w:tc>
      </w:tr>
      <w:tr>
        <w:tblPrEx>
          <w:tblCellMar>
            <w:top w:w="11" w:type="dxa"/>
            <w:left w:w="11" w:type="dxa"/>
            <w:bottom w:w="11" w:type="dxa"/>
            <w:right w:w="11" w:type="dxa"/>
          </w:tblCellMar>
        </w:tblPrEx>
        <w:trPr>
          <w:trHeight w:val="454" w:hRule="atLeast"/>
          <w:jc w:val="center"/>
        </w:trPr>
        <w:tc>
          <w:tcPr>
            <w:tcW w:w="7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r>
              <w:rPr>
                <w:rFonts w:eastAsia="仿宋_GB2312"/>
                <w:color w:val="000000" w:themeColor="text1"/>
                <w:kern w:val="21"/>
                <w:sz w:val="28"/>
                <w:szCs w:val="28"/>
              </w:rPr>
              <w:t>数据接口调用次数（亿次）</w:t>
            </w: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p>
        </w:tc>
        <w:tc>
          <w:tcPr>
            <w:tcW w:w="9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eastAsia="仿宋_GB2312"/>
                <w:color w:val="000000" w:themeColor="text1"/>
                <w:kern w:val="21"/>
                <w:sz w:val="28"/>
                <w:szCs w:val="28"/>
              </w:rPr>
            </w:pPr>
          </w:p>
        </w:tc>
      </w:tr>
      <w:tr>
        <w:tblPrEx>
          <w:tblCellMar>
            <w:top w:w="11" w:type="dxa"/>
            <w:left w:w="11" w:type="dxa"/>
            <w:bottom w:w="11" w:type="dxa"/>
            <w:right w:w="11" w:type="dxa"/>
          </w:tblCellMar>
        </w:tblPrEx>
        <w:trPr>
          <w:trHeight w:val="454" w:hRule="atLeast"/>
          <w:jc w:val="center"/>
        </w:trPr>
        <w:tc>
          <w:tcPr>
            <w:tcW w:w="7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r>
              <w:rPr>
                <w:rFonts w:eastAsia="仿宋_GB2312"/>
                <w:color w:val="000000" w:themeColor="text1"/>
                <w:kern w:val="21"/>
                <w:sz w:val="28"/>
                <w:szCs w:val="28"/>
              </w:rPr>
              <w:t>公共数据资源结构化数据集规模（个）</w:t>
            </w: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p>
        </w:tc>
        <w:tc>
          <w:tcPr>
            <w:tcW w:w="9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eastAsia="仿宋_GB2312"/>
                <w:color w:val="000000" w:themeColor="text1"/>
                <w:kern w:val="21"/>
                <w:sz w:val="28"/>
                <w:szCs w:val="28"/>
              </w:rPr>
            </w:pPr>
          </w:p>
        </w:tc>
      </w:tr>
      <w:tr>
        <w:tblPrEx>
          <w:tblCellMar>
            <w:top w:w="11" w:type="dxa"/>
            <w:left w:w="11" w:type="dxa"/>
            <w:bottom w:w="11" w:type="dxa"/>
            <w:right w:w="11" w:type="dxa"/>
          </w:tblCellMar>
        </w:tblPrEx>
        <w:trPr>
          <w:trHeight w:val="454" w:hRule="atLeast"/>
          <w:jc w:val="center"/>
        </w:trPr>
        <w:tc>
          <w:tcPr>
            <w:tcW w:w="7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r>
              <w:rPr>
                <w:rFonts w:eastAsia="仿宋_GB2312"/>
                <w:color w:val="000000" w:themeColor="text1"/>
                <w:kern w:val="21"/>
                <w:sz w:val="28"/>
                <w:szCs w:val="28"/>
              </w:rPr>
              <w:t>电子证照共享汇聚结构化数据量（亿）</w:t>
            </w: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p>
        </w:tc>
        <w:tc>
          <w:tcPr>
            <w:tcW w:w="9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eastAsia="仿宋_GB2312"/>
                <w:color w:val="000000" w:themeColor="text1"/>
                <w:kern w:val="21"/>
                <w:sz w:val="28"/>
                <w:szCs w:val="28"/>
              </w:rPr>
            </w:pPr>
          </w:p>
        </w:tc>
      </w:tr>
      <w:tr>
        <w:tblPrEx>
          <w:tblCellMar>
            <w:top w:w="11" w:type="dxa"/>
            <w:left w:w="11" w:type="dxa"/>
            <w:bottom w:w="11" w:type="dxa"/>
            <w:right w:w="11" w:type="dxa"/>
          </w:tblCellMar>
        </w:tblPrEx>
        <w:trPr>
          <w:trHeight w:val="454" w:hRule="atLeast"/>
          <w:jc w:val="center"/>
        </w:trPr>
        <w:tc>
          <w:tcPr>
            <w:tcW w:w="10060"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b/>
                <w:color w:val="000000" w:themeColor="text1"/>
                <w:kern w:val="21"/>
                <w:sz w:val="28"/>
                <w:szCs w:val="28"/>
              </w:rPr>
            </w:pPr>
            <w:r>
              <w:rPr>
                <w:rFonts w:eastAsia="仿宋_GB2312"/>
                <w:b/>
                <w:color w:val="000000" w:themeColor="text1"/>
                <w:kern w:val="21"/>
                <w:sz w:val="28"/>
                <w:szCs w:val="28"/>
              </w:rPr>
              <w:t>数字经济</w:t>
            </w:r>
          </w:p>
        </w:tc>
      </w:tr>
      <w:tr>
        <w:tblPrEx>
          <w:tblCellMar>
            <w:top w:w="11" w:type="dxa"/>
            <w:left w:w="11" w:type="dxa"/>
            <w:bottom w:w="11" w:type="dxa"/>
            <w:right w:w="11" w:type="dxa"/>
          </w:tblCellMar>
        </w:tblPrEx>
        <w:trPr>
          <w:trHeight w:val="454" w:hRule="atLeast"/>
          <w:jc w:val="center"/>
        </w:trPr>
        <w:tc>
          <w:tcPr>
            <w:tcW w:w="7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r>
              <w:rPr>
                <w:rFonts w:hint="eastAsia" w:eastAsia="仿宋_GB2312"/>
                <w:color w:val="000000" w:themeColor="text1"/>
                <w:kern w:val="21"/>
                <w:sz w:val="28"/>
                <w:szCs w:val="28"/>
              </w:rPr>
              <w:t>培育规模以上计算机、通信和其他电子设备制造业企业个数</w:t>
            </w:r>
            <w:r>
              <w:rPr>
                <w:rFonts w:eastAsia="仿宋_GB2312"/>
                <w:color w:val="000000" w:themeColor="text1"/>
                <w:kern w:val="21"/>
                <w:sz w:val="28"/>
                <w:szCs w:val="28"/>
              </w:rPr>
              <w:t>（%）</w:t>
            </w: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p>
        </w:tc>
        <w:tc>
          <w:tcPr>
            <w:tcW w:w="9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eastAsia="仿宋_GB2312"/>
                <w:color w:val="000000" w:themeColor="text1"/>
                <w:kern w:val="21"/>
                <w:sz w:val="28"/>
                <w:szCs w:val="28"/>
                <w:highlight w:val="yellow"/>
              </w:rPr>
            </w:pPr>
          </w:p>
        </w:tc>
      </w:tr>
      <w:tr>
        <w:tblPrEx>
          <w:tblCellMar>
            <w:top w:w="11" w:type="dxa"/>
            <w:left w:w="11" w:type="dxa"/>
            <w:bottom w:w="11" w:type="dxa"/>
            <w:right w:w="11" w:type="dxa"/>
          </w:tblCellMar>
        </w:tblPrEx>
        <w:trPr>
          <w:trHeight w:val="454" w:hRule="atLeast"/>
          <w:jc w:val="center"/>
        </w:trPr>
        <w:tc>
          <w:tcPr>
            <w:tcW w:w="7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r>
              <w:rPr>
                <w:rFonts w:hint="eastAsia" w:eastAsia="仿宋_GB2312"/>
                <w:color w:val="000000" w:themeColor="text1"/>
                <w:kern w:val="21"/>
                <w:sz w:val="28"/>
                <w:szCs w:val="28"/>
              </w:rPr>
              <w:t>规模以上计算机、通信和其他电子设备制造业营业收入</w:t>
            </w:r>
            <w:r>
              <w:rPr>
                <w:rFonts w:eastAsia="仿宋_GB2312"/>
                <w:color w:val="000000" w:themeColor="text1"/>
                <w:kern w:val="21"/>
                <w:sz w:val="28"/>
                <w:szCs w:val="28"/>
              </w:rPr>
              <w:t>（亿元）</w:t>
            </w: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p>
        </w:tc>
        <w:tc>
          <w:tcPr>
            <w:tcW w:w="9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eastAsia="仿宋_GB2312"/>
                <w:color w:val="000000" w:themeColor="text1"/>
                <w:kern w:val="21"/>
                <w:sz w:val="28"/>
                <w:szCs w:val="28"/>
              </w:rPr>
            </w:pPr>
          </w:p>
        </w:tc>
      </w:tr>
      <w:tr>
        <w:tblPrEx>
          <w:tblCellMar>
            <w:top w:w="11" w:type="dxa"/>
            <w:left w:w="11" w:type="dxa"/>
            <w:bottom w:w="11" w:type="dxa"/>
            <w:right w:w="11" w:type="dxa"/>
          </w:tblCellMar>
        </w:tblPrEx>
        <w:trPr>
          <w:trHeight w:val="454" w:hRule="atLeast"/>
          <w:jc w:val="center"/>
        </w:trPr>
        <w:tc>
          <w:tcPr>
            <w:tcW w:w="7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r>
              <w:rPr>
                <w:rFonts w:eastAsia="仿宋_GB2312"/>
                <w:color w:val="000000" w:themeColor="text1"/>
                <w:kern w:val="21"/>
                <w:sz w:val="28"/>
                <w:szCs w:val="28"/>
              </w:rPr>
              <w:t>网络零售额（亿元）</w:t>
            </w: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p>
        </w:tc>
        <w:tc>
          <w:tcPr>
            <w:tcW w:w="9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eastAsia="仿宋_GB2312"/>
                <w:color w:val="000000" w:themeColor="text1"/>
                <w:kern w:val="21"/>
                <w:sz w:val="28"/>
                <w:szCs w:val="28"/>
              </w:rPr>
            </w:pPr>
          </w:p>
        </w:tc>
      </w:tr>
      <w:tr>
        <w:tblPrEx>
          <w:tblCellMar>
            <w:top w:w="11" w:type="dxa"/>
            <w:left w:w="11" w:type="dxa"/>
            <w:bottom w:w="11" w:type="dxa"/>
            <w:right w:w="11" w:type="dxa"/>
          </w:tblCellMar>
        </w:tblPrEx>
        <w:trPr>
          <w:trHeight w:val="454" w:hRule="atLeast"/>
          <w:jc w:val="center"/>
        </w:trPr>
        <w:tc>
          <w:tcPr>
            <w:tcW w:w="10060"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b/>
                <w:color w:val="000000" w:themeColor="text1"/>
                <w:kern w:val="21"/>
                <w:sz w:val="28"/>
                <w:szCs w:val="28"/>
              </w:rPr>
            </w:pPr>
            <w:r>
              <w:rPr>
                <w:rFonts w:eastAsia="仿宋_GB2312"/>
                <w:b/>
                <w:color w:val="000000" w:themeColor="text1"/>
                <w:kern w:val="21"/>
                <w:sz w:val="28"/>
                <w:szCs w:val="28"/>
              </w:rPr>
              <w:t>数字政府</w:t>
            </w:r>
          </w:p>
        </w:tc>
      </w:tr>
      <w:tr>
        <w:tblPrEx>
          <w:tblCellMar>
            <w:top w:w="11" w:type="dxa"/>
            <w:left w:w="11" w:type="dxa"/>
            <w:bottom w:w="11" w:type="dxa"/>
            <w:right w:w="11" w:type="dxa"/>
          </w:tblCellMar>
        </w:tblPrEx>
        <w:trPr>
          <w:trHeight w:val="454" w:hRule="atLeast"/>
          <w:jc w:val="center"/>
        </w:trPr>
        <w:tc>
          <w:tcPr>
            <w:tcW w:w="7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r>
              <w:rPr>
                <w:rFonts w:eastAsia="仿宋_GB2312"/>
                <w:color w:val="000000" w:themeColor="text1"/>
                <w:kern w:val="21"/>
                <w:sz w:val="28"/>
                <w:szCs w:val="28"/>
              </w:rPr>
              <w:t>政务移动端应用数（个）</w:t>
            </w: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jc w:val="center"/>
              <w:rPr>
                <w:rFonts w:eastAsia="仿宋_GB2312"/>
                <w:color w:val="000000" w:themeColor="text1"/>
                <w:kern w:val="21"/>
                <w:sz w:val="28"/>
                <w:szCs w:val="28"/>
              </w:rPr>
            </w:pPr>
            <w:r>
              <w:rPr>
                <w:rFonts w:eastAsia="仿宋_GB2312"/>
                <w:color w:val="000000" w:themeColor="text1"/>
                <w:kern w:val="21"/>
                <w:sz w:val="28"/>
                <w:szCs w:val="28"/>
              </w:rPr>
              <w:t>—</w:t>
            </w: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p>
        </w:tc>
        <w:tc>
          <w:tcPr>
            <w:tcW w:w="9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eastAsia="仿宋_GB2312"/>
                <w:color w:val="000000" w:themeColor="text1"/>
                <w:kern w:val="21"/>
                <w:sz w:val="28"/>
                <w:szCs w:val="28"/>
              </w:rPr>
            </w:pPr>
          </w:p>
        </w:tc>
      </w:tr>
      <w:tr>
        <w:tblPrEx>
          <w:tblCellMar>
            <w:top w:w="11" w:type="dxa"/>
            <w:left w:w="11" w:type="dxa"/>
            <w:bottom w:w="11" w:type="dxa"/>
            <w:right w:w="11" w:type="dxa"/>
          </w:tblCellMar>
        </w:tblPrEx>
        <w:trPr>
          <w:trHeight w:val="454" w:hRule="atLeast"/>
          <w:jc w:val="center"/>
        </w:trPr>
        <w:tc>
          <w:tcPr>
            <w:tcW w:w="7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r>
              <w:rPr>
                <w:rFonts w:eastAsia="仿宋_GB2312"/>
                <w:color w:val="000000" w:themeColor="text1"/>
                <w:kern w:val="21"/>
                <w:sz w:val="28"/>
                <w:szCs w:val="28"/>
              </w:rPr>
              <w:t>“智桂通”重点应用服务事项数（项）</w:t>
            </w: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jc w:val="center"/>
              <w:rPr>
                <w:rFonts w:eastAsia="仿宋_GB2312"/>
                <w:color w:val="000000" w:themeColor="text1"/>
                <w:kern w:val="21"/>
                <w:sz w:val="28"/>
                <w:szCs w:val="28"/>
              </w:rPr>
            </w:pP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p>
        </w:tc>
        <w:tc>
          <w:tcPr>
            <w:tcW w:w="9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eastAsia="仿宋_GB2312"/>
                <w:color w:val="000000" w:themeColor="text1"/>
                <w:kern w:val="21"/>
                <w:sz w:val="28"/>
                <w:szCs w:val="28"/>
              </w:rPr>
            </w:pPr>
          </w:p>
        </w:tc>
      </w:tr>
      <w:tr>
        <w:tblPrEx>
          <w:tblCellMar>
            <w:top w:w="11" w:type="dxa"/>
            <w:left w:w="11" w:type="dxa"/>
            <w:bottom w:w="11" w:type="dxa"/>
            <w:right w:w="11" w:type="dxa"/>
          </w:tblCellMar>
        </w:tblPrEx>
        <w:trPr>
          <w:trHeight w:val="454" w:hRule="atLeast"/>
          <w:jc w:val="center"/>
        </w:trPr>
        <w:tc>
          <w:tcPr>
            <w:tcW w:w="7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r>
              <w:rPr>
                <w:rFonts w:eastAsia="仿宋_GB2312"/>
                <w:color w:val="000000" w:themeColor="text1"/>
                <w:kern w:val="21"/>
                <w:sz w:val="28"/>
                <w:szCs w:val="28"/>
              </w:rPr>
              <w:t>政务数据资源挂接率（%）</w:t>
            </w: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jc w:val="center"/>
              <w:rPr>
                <w:rFonts w:eastAsia="仿宋_GB2312"/>
                <w:color w:val="000000" w:themeColor="text1"/>
                <w:kern w:val="21"/>
                <w:sz w:val="28"/>
                <w:szCs w:val="28"/>
              </w:rPr>
            </w:pPr>
            <w:r>
              <w:rPr>
                <w:rFonts w:eastAsia="仿宋_GB2312"/>
                <w:color w:val="000000" w:themeColor="text1"/>
                <w:kern w:val="21"/>
                <w:sz w:val="28"/>
                <w:szCs w:val="28"/>
              </w:rPr>
              <w:t>—</w:t>
            </w: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p>
        </w:tc>
        <w:tc>
          <w:tcPr>
            <w:tcW w:w="9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eastAsia="仿宋_GB2312"/>
                <w:color w:val="000000" w:themeColor="text1"/>
                <w:kern w:val="21"/>
                <w:sz w:val="28"/>
                <w:szCs w:val="28"/>
              </w:rPr>
            </w:pPr>
          </w:p>
        </w:tc>
      </w:tr>
      <w:tr>
        <w:tblPrEx>
          <w:tblCellMar>
            <w:top w:w="11" w:type="dxa"/>
            <w:left w:w="11" w:type="dxa"/>
            <w:bottom w:w="11" w:type="dxa"/>
            <w:right w:w="11" w:type="dxa"/>
          </w:tblCellMar>
        </w:tblPrEx>
        <w:trPr>
          <w:trHeight w:val="454" w:hRule="atLeast"/>
          <w:jc w:val="center"/>
        </w:trPr>
        <w:tc>
          <w:tcPr>
            <w:tcW w:w="7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r>
              <w:rPr>
                <w:rFonts w:eastAsia="仿宋_GB2312"/>
                <w:color w:val="000000" w:themeColor="text1"/>
                <w:kern w:val="21"/>
                <w:sz w:val="28"/>
                <w:szCs w:val="28"/>
              </w:rPr>
              <w:t>政务系统上云率（%）</w:t>
            </w: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p>
        </w:tc>
        <w:tc>
          <w:tcPr>
            <w:tcW w:w="9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eastAsia="仿宋_GB2312"/>
                <w:color w:val="000000" w:themeColor="text1"/>
                <w:kern w:val="21"/>
                <w:sz w:val="28"/>
                <w:szCs w:val="28"/>
              </w:rPr>
            </w:pPr>
          </w:p>
        </w:tc>
      </w:tr>
      <w:tr>
        <w:tblPrEx>
          <w:tblCellMar>
            <w:top w:w="11" w:type="dxa"/>
            <w:left w:w="11" w:type="dxa"/>
            <w:bottom w:w="11" w:type="dxa"/>
            <w:right w:w="11" w:type="dxa"/>
          </w:tblCellMar>
        </w:tblPrEx>
        <w:trPr>
          <w:trHeight w:val="454" w:hRule="atLeast"/>
          <w:jc w:val="center"/>
        </w:trPr>
        <w:tc>
          <w:tcPr>
            <w:tcW w:w="7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r>
              <w:rPr>
                <w:rFonts w:eastAsia="仿宋_GB2312"/>
                <w:color w:val="000000" w:themeColor="text1"/>
                <w:kern w:val="21"/>
                <w:sz w:val="28"/>
                <w:szCs w:val="28"/>
              </w:rPr>
              <w:t>政务服务事项全程网办率（%）</w:t>
            </w: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p>
        </w:tc>
        <w:tc>
          <w:tcPr>
            <w:tcW w:w="9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eastAsia="仿宋_GB2312"/>
                <w:color w:val="000000" w:themeColor="text1"/>
                <w:kern w:val="21"/>
                <w:sz w:val="28"/>
                <w:szCs w:val="28"/>
              </w:rPr>
            </w:pPr>
          </w:p>
        </w:tc>
      </w:tr>
      <w:tr>
        <w:tblPrEx>
          <w:tblCellMar>
            <w:top w:w="11" w:type="dxa"/>
            <w:left w:w="11" w:type="dxa"/>
            <w:bottom w:w="11" w:type="dxa"/>
            <w:right w:w="11" w:type="dxa"/>
          </w:tblCellMar>
        </w:tblPrEx>
        <w:trPr>
          <w:trHeight w:val="454" w:hRule="atLeast"/>
          <w:jc w:val="center"/>
        </w:trPr>
        <w:tc>
          <w:tcPr>
            <w:tcW w:w="10060"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b/>
                <w:color w:val="000000" w:themeColor="text1"/>
                <w:kern w:val="21"/>
                <w:sz w:val="28"/>
                <w:szCs w:val="28"/>
              </w:rPr>
            </w:pPr>
            <w:r>
              <w:rPr>
                <w:rFonts w:eastAsia="仿宋_GB2312"/>
                <w:b/>
                <w:color w:val="000000" w:themeColor="text1"/>
                <w:kern w:val="21"/>
                <w:sz w:val="28"/>
                <w:szCs w:val="28"/>
              </w:rPr>
              <w:t>数字社会</w:t>
            </w:r>
          </w:p>
        </w:tc>
      </w:tr>
      <w:tr>
        <w:tblPrEx>
          <w:tblCellMar>
            <w:top w:w="11" w:type="dxa"/>
            <w:left w:w="11" w:type="dxa"/>
            <w:bottom w:w="11" w:type="dxa"/>
            <w:right w:w="11" w:type="dxa"/>
          </w:tblCellMar>
        </w:tblPrEx>
        <w:trPr>
          <w:trHeight w:val="454" w:hRule="atLeast"/>
          <w:jc w:val="center"/>
        </w:trPr>
        <w:tc>
          <w:tcPr>
            <w:tcW w:w="7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r>
              <w:rPr>
                <w:rFonts w:eastAsia="仿宋_GB2312"/>
                <w:color w:val="000000" w:themeColor="text1"/>
                <w:kern w:val="21"/>
                <w:sz w:val="28"/>
                <w:szCs w:val="28"/>
              </w:rPr>
              <w:t>城市码全市申领率（%）</w:t>
            </w: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p>
        </w:tc>
        <w:tc>
          <w:tcPr>
            <w:tcW w:w="9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eastAsia="仿宋_GB2312"/>
                <w:color w:val="000000" w:themeColor="text1"/>
                <w:kern w:val="21"/>
                <w:sz w:val="28"/>
                <w:szCs w:val="28"/>
              </w:rPr>
            </w:pPr>
          </w:p>
        </w:tc>
      </w:tr>
      <w:tr>
        <w:tblPrEx>
          <w:tblCellMar>
            <w:top w:w="11" w:type="dxa"/>
            <w:left w:w="11" w:type="dxa"/>
            <w:bottom w:w="11" w:type="dxa"/>
            <w:right w:w="11" w:type="dxa"/>
          </w:tblCellMar>
        </w:tblPrEx>
        <w:trPr>
          <w:trHeight w:val="454" w:hRule="atLeast"/>
          <w:jc w:val="center"/>
        </w:trPr>
        <w:tc>
          <w:tcPr>
            <w:tcW w:w="7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r>
              <w:rPr>
                <w:rFonts w:eastAsia="仿宋_GB2312"/>
                <w:color w:val="000000" w:themeColor="text1"/>
                <w:kern w:val="21"/>
                <w:sz w:val="28"/>
                <w:szCs w:val="28"/>
              </w:rPr>
              <w:t>电子健康档案覆盖率（%）</w:t>
            </w: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p>
        </w:tc>
        <w:tc>
          <w:tcPr>
            <w:tcW w:w="9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eastAsia="仿宋_GB2312"/>
                <w:color w:val="000000" w:themeColor="text1"/>
                <w:kern w:val="21"/>
                <w:sz w:val="28"/>
                <w:szCs w:val="28"/>
              </w:rPr>
            </w:pPr>
          </w:p>
        </w:tc>
      </w:tr>
      <w:tr>
        <w:tblPrEx>
          <w:tblCellMar>
            <w:top w:w="11" w:type="dxa"/>
            <w:left w:w="11" w:type="dxa"/>
            <w:bottom w:w="11" w:type="dxa"/>
            <w:right w:w="11" w:type="dxa"/>
          </w:tblCellMar>
        </w:tblPrEx>
        <w:trPr>
          <w:trHeight w:val="454" w:hRule="atLeast"/>
          <w:jc w:val="center"/>
        </w:trPr>
        <w:tc>
          <w:tcPr>
            <w:tcW w:w="7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r>
              <w:rPr>
                <w:rFonts w:eastAsia="仿宋_GB2312"/>
                <w:color w:val="000000" w:themeColor="text1"/>
                <w:kern w:val="21"/>
                <w:sz w:val="28"/>
                <w:szCs w:val="28"/>
              </w:rPr>
              <w:t>数字校园和智慧校园试点示范数（个）</w:t>
            </w: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p>
        </w:tc>
        <w:tc>
          <w:tcPr>
            <w:tcW w:w="9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eastAsia="仿宋_GB2312"/>
                <w:color w:val="000000" w:themeColor="text1"/>
                <w:kern w:val="21"/>
                <w:sz w:val="28"/>
                <w:szCs w:val="28"/>
              </w:rPr>
            </w:pPr>
          </w:p>
        </w:tc>
      </w:tr>
      <w:tr>
        <w:tblPrEx>
          <w:tblCellMar>
            <w:top w:w="11" w:type="dxa"/>
            <w:left w:w="11" w:type="dxa"/>
            <w:bottom w:w="11" w:type="dxa"/>
            <w:right w:w="11" w:type="dxa"/>
          </w:tblCellMar>
        </w:tblPrEx>
        <w:trPr>
          <w:trHeight w:val="454" w:hRule="atLeast"/>
          <w:jc w:val="center"/>
        </w:trPr>
        <w:tc>
          <w:tcPr>
            <w:tcW w:w="7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r>
              <w:rPr>
                <w:rFonts w:eastAsia="仿宋_GB2312"/>
                <w:color w:val="000000" w:themeColor="text1"/>
                <w:kern w:val="21"/>
                <w:sz w:val="28"/>
                <w:szCs w:val="28"/>
              </w:rPr>
              <w:t>电子社保卡覆盖率（%）</w:t>
            </w: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p>
        </w:tc>
        <w:tc>
          <w:tcPr>
            <w:tcW w:w="9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eastAsia="仿宋_GB2312"/>
                <w:color w:val="000000" w:themeColor="text1"/>
                <w:kern w:val="21"/>
                <w:sz w:val="28"/>
                <w:szCs w:val="28"/>
              </w:rPr>
            </w:pPr>
          </w:p>
        </w:tc>
      </w:tr>
      <w:tr>
        <w:tblPrEx>
          <w:tblCellMar>
            <w:top w:w="11" w:type="dxa"/>
            <w:left w:w="11" w:type="dxa"/>
            <w:bottom w:w="11" w:type="dxa"/>
            <w:right w:w="11" w:type="dxa"/>
          </w:tblCellMar>
        </w:tblPrEx>
        <w:trPr>
          <w:trHeight w:val="454" w:hRule="atLeast"/>
          <w:jc w:val="center"/>
        </w:trPr>
        <w:tc>
          <w:tcPr>
            <w:tcW w:w="10060"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b/>
                <w:color w:val="000000" w:themeColor="text1"/>
                <w:kern w:val="21"/>
                <w:sz w:val="28"/>
                <w:szCs w:val="28"/>
              </w:rPr>
            </w:pPr>
            <w:r>
              <w:rPr>
                <w:rFonts w:eastAsia="仿宋_GB2312"/>
                <w:b/>
                <w:color w:val="000000" w:themeColor="text1"/>
                <w:kern w:val="21"/>
                <w:sz w:val="28"/>
                <w:szCs w:val="28"/>
              </w:rPr>
              <w:t>数字开放合作</w:t>
            </w:r>
          </w:p>
        </w:tc>
      </w:tr>
      <w:tr>
        <w:tblPrEx>
          <w:tblCellMar>
            <w:top w:w="11" w:type="dxa"/>
            <w:left w:w="11" w:type="dxa"/>
            <w:bottom w:w="11" w:type="dxa"/>
            <w:right w:w="11" w:type="dxa"/>
          </w:tblCellMar>
        </w:tblPrEx>
        <w:trPr>
          <w:trHeight w:val="454" w:hRule="atLeast"/>
          <w:jc w:val="center"/>
        </w:trPr>
        <w:tc>
          <w:tcPr>
            <w:tcW w:w="7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r>
              <w:rPr>
                <w:rFonts w:eastAsia="仿宋_GB2312"/>
                <w:color w:val="000000" w:themeColor="text1"/>
                <w:kern w:val="21"/>
                <w:sz w:val="28"/>
                <w:szCs w:val="28"/>
              </w:rPr>
              <w:t>标志性跨境数字产业链数（条）</w:t>
            </w: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p>
        </w:tc>
        <w:tc>
          <w:tcPr>
            <w:tcW w:w="9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eastAsia="仿宋_GB2312"/>
                <w:color w:val="000000" w:themeColor="text1"/>
                <w:kern w:val="21"/>
                <w:sz w:val="28"/>
                <w:szCs w:val="28"/>
                <w:highlight w:val="yellow"/>
              </w:rPr>
            </w:pPr>
          </w:p>
        </w:tc>
      </w:tr>
      <w:tr>
        <w:tblPrEx>
          <w:tblCellMar>
            <w:top w:w="11" w:type="dxa"/>
            <w:left w:w="11" w:type="dxa"/>
            <w:bottom w:w="11" w:type="dxa"/>
            <w:right w:w="11" w:type="dxa"/>
          </w:tblCellMar>
        </w:tblPrEx>
        <w:trPr>
          <w:trHeight w:val="454" w:hRule="atLeast"/>
          <w:jc w:val="center"/>
        </w:trPr>
        <w:tc>
          <w:tcPr>
            <w:tcW w:w="708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r>
              <w:rPr>
                <w:rFonts w:eastAsia="仿宋_GB2312"/>
                <w:color w:val="000000" w:themeColor="text1"/>
                <w:kern w:val="21"/>
                <w:sz w:val="28"/>
                <w:szCs w:val="28"/>
              </w:rPr>
              <w:t>跨境电商进出口总额年均增速（%）</w:t>
            </w: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p>
        </w:tc>
        <w:tc>
          <w:tcPr>
            <w:tcW w:w="99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rPr>
                <w:rFonts w:eastAsia="仿宋_GB2312"/>
                <w:color w:val="000000" w:themeColor="text1"/>
                <w:kern w:val="21"/>
                <w:sz w:val="28"/>
                <w:szCs w:val="28"/>
              </w:rPr>
            </w:pPr>
          </w:p>
        </w:tc>
        <w:tc>
          <w:tcPr>
            <w:tcW w:w="9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eastAsia="仿宋_GB2312"/>
                <w:color w:val="000000" w:themeColor="text1"/>
                <w:kern w:val="21"/>
                <w:sz w:val="28"/>
                <w:szCs w:val="28"/>
              </w:rPr>
            </w:pPr>
          </w:p>
        </w:tc>
      </w:tr>
    </w:tbl>
    <w:p>
      <w:pPr>
        <w:pStyle w:val="44"/>
        <w:rPr>
          <w:color w:val="000000" w:themeColor="text1"/>
        </w:rPr>
      </w:pPr>
    </w:p>
    <w:p>
      <w:pPr>
        <w:pStyle w:val="4"/>
        <w:keepNext w:val="0"/>
        <w:keepLines w:val="0"/>
        <w:adjustRightInd w:val="0"/>
        <w:snapToGrid w:val="0"/>
        <w:spacing w:before="0" w:after="0" w:line="600" w:lineRule="exact"/>
        <w:ind w:firstLine="720"/>
        <w:jc w:val="both"/>
        <w:rPr>
          <w:rFonts w:ascii="Times New Roman" w:hAnsi="Times New Roman" w:eastAsia="方正黑体_GBK" w:cs="方正黑体_GBK"/>
          <w:b w:val="0"/>
          <w:color w:val="000000" w:themeColor="text1"/>
          <w:kern w:val="21"/>
          <w:szCs w:val="36"/>
        </w:rPr>
      </w:pPr>
      <w:bookmarkStart w:id="31" w:name="_Toc93409978"/>
      <w:r>
        <w:rPr>
          <w:rFonts w:hint="eastAsia" w:ascii="Times New Roman" w:hAnsi="Times New Roman" w:eastAsia="方正黑体_GBK" w:cs="方正黑体_GBK"/>
          <w:b w:val="0"/>
          <w:color w:val="000000" w:themeColor="text1"/>
          <w:kern w:val="21"/>
          <w:szCs w:val="36"/>
        </w:rPr>
        <w:t>三、</w:t>
      </w:r>
      <w:r>
        <w:rPr>
          <w:rFonts w:ascii="Times New Roman" w:hAnsi="Times New Roman" w:eastAsia="方正黑体_GBK" w:cs="方正黑体_GBK"/>
          <w:b w:val="0"/>
          <w:color w:val="000000" w:themeColor="text1"/>
          <w:kern w:val="21"/>
          <w:szCs w:val="36"/>
        </w:rPr>
        <w:t>发展布局</w:t>
      </w:r>
      <w:bookmarkEnd w:id="31"/>
    </w:p>
    <w:p>
      <w:pPr>
        <w:pStyle w:val="5"/>
        <w:keepNext w:val="0"/>
        <w:keepLines w:val="0"/>
        <w:adjustRightInd w:val="0"/>
        <w:snapToGrid w:val="0"/>
        <w:spacing w:before="0" w:after="0" w:line="600" w:lineRule="exact"/>
        <w:ind w:firstLine="643"/>
        <w:jc w:val="both"/>
        <w:rPr>
          <w:rFonts w:ascii="楷体_GB2312" w:hAnsi="楷体_GB2312" w:cs="方正楷体_GBK"/>
          <w:bCs w:val="0"/>
          <w:color w:val="000000" w:themeColor="text1"/>
          <w:kern w:val="21"/>
        </w:rPr>
      </w:pPr>
      <w:bookmarkStart w:id="32" w:name="_Toc93409979"/>
      <w:r>
        <w:rPr>
          <w:rFonts w:ascii="楷体_GB2312" w:hAnsi="楷体_GB2312" w:cs="方正楷体_GBK"/>
          <w:bCs w:val="0"/>
          <w:color w:val="000000" w:themeColor="text1"/>
          <w:kern w:val="21"/>
        </w:rPr>
        <w:t>（一）</w:t>
      </w:r>
      <w:r>
        <w:rPr>
          <w:rFonts w:hint="eastAsia" w:ascii="楷体_GB2312" w:hAnsi="楷体_GB2312" w:cs="方正楷体_GBK"/>
          <w:bCs w:val="0"/>
          <w:color w:val="000000" w:themeColor="text1"/>
          <w:kern w:val="21"/>
        </w:rPr>
        <w:t>总体框架</w:t>
      </w:r>
      <w:bookmarkEnd w:id="32"/>
    </w:p>
    <w:p>
      <w:pPr>
        <w:pStyle w:val="33"/>
        <w:spacing w:before="0" w:after="0" w:line="600" w:lineRule="exact"/>
        <w:ind w:firstLine="680" w:firstLineChars="200"/>
        <w:jc w:val="both"/>
        <w:rPr>
          <w:rFonts w:ascii="仿宋_GB2312" w:eastAsia="仿宋_GB2312"/>
          <w:bCs w:val="0"/>
          <w:color w:val="000000" w:themeColor="text1"/>
          <w:sz w:val="32"/>
          <w:szCs w:val="32"/>
        </w:rPr>
      </w:pPr>
      <w:r>
        <w:rPr>
          <w:rFonts w:hint="eastAsia" w:ascii="黑体" w:hAnsi="黑体" w:eastAsia="黑体"/>
          <w:bCs w:val="0"/>
          <w:color w:val="000000" w:themeColor="text1"/>
          <w:sz w:val="32"/>
          <w:szCs w:val="32"/>
        </w:rPr>
        <w:t>围绕“</w:t>
      </w:r>
      <w:r>
        <w:rPr>
          <w:rFonts w:hint="eastAsia" w:ascii="黑体" w:hAnsi="黑体" w:eastAsia="黑体"/>
          <w:color w:val="000000" w:themeColor="text1"/>
          <w:sz w:val="32"/>
          <w:szCs w:val="32"/>
        </w:rPr>
        <w:t>产业强、枢纽强、生态强、法治强</w:t>
      </w:r>
      <w:r>
        <w:rPr>
          <w:rFonts w:hint="eastAsia" w:ascii="黑体" w:hAnsi="黑体" w:eastAsia="黑体"/>
          <w:bCs w:val="0"/>
          <w:color w:val="000000" w:themeColor="text1"/>
          <w:sz w:val="32"/>
          <w:szCs w:val="32"/>
        </w:rPr>
        <w:t>”，</w:t>
      </w:r>
      <w:r>
        <w:rPr>
          <w:rFonts w:hint="eastAsia" w:ascii="仿宋_GB2312" w:eastAsia="仿宋_GB2312"/>
          <w:bCs w:val="0"/>
          <w:color w:val="000000" w:themeColor="text1"/>
          <w:sz w:val="32"/>
          <w:szCs w:val="32"/>
        </w:rPr>
        <w:t>瞄准“促进数字技术与经济社会发展深度融合，满足人民群众新需求”的核心目标，构建“</w:t>
      </w:r>
      <w:r>
        <w:rPr>
          <w:rFonts w:eastAsia="黑体"/>
          <w:bCs w:val="0"/>
          <w:color w:val="000000" w:themeColor="text1"/>
          <w:sz w:val="32"/>
          <w:szCs w:val="32"/>
        </w:rPr>
        <w:t>数字玉林1453</w:t>
      </w:r>
      <w:r>
        <w:rPr>
          <w:rFonts w:hint="eastAsia" w:ascii="仿宋_GB2312" w:eastAsia="仿宋_GB2312"/>
          <w:bCs w:val="0"/>
          <w:color w:val="000000" w:themeColor="text1"/>
          <w:sz w:val="32"/>
          <w:szCs w:val="32"/>
        </w:rPr>
        <w:t>”总体任务框架体系：</w:t>
      </w:r>
    </w:p>
    <w:p>
      <w:pPr>
        <w:pStyle w:val="33"/>
        <w:spacing w:before="0" w:after="0" w:line="600" w:lineRule="exact"/>
        <w:ind w:firstLine="680" w:firstLineChars="200"/>
        <w:jc w:val="both"/>
        <w:rPr>
          <w:rFonts w:ascii="仿宋_GB2312" w:eastAsia="仿宋_GB2312"/>
          <w:bCs w:val="0"/>
          <w:color w:val="000000" w:themeColor="text1"/>
          <w:sz w:val="32"/>
          <w:szCs w:val="32"/>
        </w:rPr>
      </w:pPr>
      <w:r>
        <w:rPr>
          <w:rFonts w:hint="eastAsia" w:ascii="仿宋_GB2312" w:eastAsia="仿宋_GB2312"/>
          <w:bCs w:val="0"/>
          <w:color w:val="000000" w:themeColor="text1"/>
          <w:sz w:val="32"/>
          <w:szCs w:val="32"/>
        </w:rPr>
        <w:t>“</w:t>
      </w:r>
      <w:r>
        <w:rPr>
          <w:rFonts w:eastAsia="仿宋_GB2312"/>
          <w:bCs w:val="0"/>
          <w:color w:val="000000" w:themeColor="text1"/>
          <w:sz w:val="32"/>
          <w:szCs w:val="32"/>
        </w:rPr>
        <w:t>1</w:t>
      </w:r>
      <w:r>
        <w:rPr>
          <w:rFonts w:hint="eastAsia" w:ascii="仿宋_GB2312" w:eastAsia="仿宋_GB2312"/>
          <w:bCs w:val="0"/>
          <w:color w:val="000000" w:themeColor="text1"/>
          <w:sz w:val="32"/>
          <w:szCs w:val="32"/>
        </w:rPr>
        <w:t>”即：基于玉林孪生计算与大数据云服务中心构建</w:t>
      </w:r>
      <w:r>
        <w:rPr>
          <w:rFonts w:eastAsia="仿宋_GB2312"/>
          <w:bCs w:val="0"/>
          <w:color w:val="000000" w:themeColor="text1"/>
          <w:sz w:val="32"/>
          <w:szCs w:val="32"/>
        </w:rPr>
        <w:t>1个</w:t>
      </w:r>
      <w:r>
        <w:rPr>
          <w:rFonts w:hint="eastAsia" w:ascii="仿宋_GB2312" w:eastAsia="仿宋_GB2312"/>
          <w:bCs w:val="0"/>
          <w:color w:val="000000" w:themeColor="text1"/>
          <w:sz w:val="32"/>
          <w:szCs w:val="32"/>
        </w:rPr>
        <w:t>“数智大脑”；</w:t>
      </w:r>
    </w:p>
    <w:p>
      <w:pPr>
        <w:pStyle w:val="33"/>
        <w:spacing w:before="0" w:after="0" w:line="600" w:lineRule="exact"/>
        <w:ind w:firstLine="680" w:firstLineChars="200"/>
        <w:jc w:val="both"/>
        <w:rPr>
          <w:rFonts w:ascii="仿宋_GB2312" w:eastAsia="仿宋_GB2312"/>
          <w:bCs w:val="0"/>
          <w:color w:val="000000" w:themeColor="text1"/>
          <w:sz w:val="32"/>
          <w:szCs w:val="32"/>
        </w:rPr>
      </w:pPr>
      <w:r>
        <w:rPr>
          <w:rFonts w:hint="eastAsia" w:ascii="仿宋_GB2312" w:eastAsia="仿宋_GB2312"/>
          <w:bCs w:val="0"/>
          <w:color w:val="000000" w:themeColor="text1"/>
          <w:sz w:val="32"/>
          <w:szCs w:val="32"/>
        </w:rPr>
        <w:t>“</w:t>
      </w:r>
      <w:r>
        <w:rPr>
          <w:rFonts w:eastAsia="仿宋_GB2312"/>
          <w:bCs w:val="0"/>
          <w:color w:val="000000" w:themeColor="text1"/>
          <w:sz w:val="32"/>
          <w:szCs w:val="32"/>
        </w:rPr>
        <w:t>4</w:t>
      </w:r>
      <w:r>
        <w:rPr>
          <w:rFonts w:hint="eastAsia" w:ascii="仿宋_GB2312" w:eastAsia="仿宋_GB2312"/>
          <w:bCs w:val="0"/>
          <w:color w:val="000000" w:themeColor="text1"/>
          <w:sz w:val="32"/>
          <w:szCs w:val="32"/>
        </w:rPr>
        <w:t>”即：以存储、网络、算力、城市中台“</w:t>
      </w:r>
      <w:r>
        <w:rPr>
          <w:rFonts w:eastAsia="仿宋_GB2312"/>
          <w:bCs w:val="0"/>
          <w:color w:val="000000" w:themeColor="text1"/>
          <w:sz w:val="32"/>
          <w:szCs w:val="32"/>
        </w:rPr>
        <w:t>4</w:t>
      </w:r>
      <w:r>
        <w:rPr>
          <w:rFonts w:hint="eastAsia" w:ascii="仿宋_GB2312" w:eastAsia="仿宋_GB2312"/>
          <w:bCs w:val="0"/>
          <w:color w:val="000000" w:themeColor="text1"/>
          <w:sz w:val="32"/>
          <w:szCs w:val="32"/>
        </w:rPr>
        <w:t>”大基础设施为底座；</w:t>
      </w:r>
    </w:p>
    <w:p>
      <w:pPr>
        <w:pStyle w:val="33"/>
        <w:spacing w:before="0" w:after="0" w:line="600" w:lineRule="exact"/>
        <w:ind w:firstLine="680" w:firstLineChars="200"/>
        <w:jc w:val="both"/>
        <w:rPr>
          <w:rFonts w:ascii="仿宋_GB2312" w:eastAsia="仿宋_GB2312"/>
          <w:bCs w:val="0"/>
          <w:color w:val="000000" w:themeColor="text1"/>
          <w:sz w:val="32"/>
          <w:szCs w:val="32"/>
        </w:rPr>
      </w:pPr>
      <w:r>
        <w:rPr>
          <w:rFonts w:hint="eastAsia" w:ascii="仿宋_GB2312" w:eastAsia="仿宋_GB2312"/>
          <w:bCs w:val="0"/>
          <w:color w:val="000000" w:themeColor="text1"/>
          <w:sz w:val="32"/>
          <w:szCs w:val="32"/>
        </w:rPr>
        <w:t>“</w:t>
      </w:r>
      <w:r>
        <w:rPr>
          <w:rFonts w:eastAsia="仿宋_GB2312"/>
          <w:bCs w:val="0"/>
          <w:color w:val="000000" w:themeColor="text1"/>
          <w:sz w:val="32"/>
          <w:szCs w:val="32"/>
        </w:rPr>
        <w:t>5</w:t>
      </w:r>
      <w:r>
        <w:rPr>
          <w:rFonts w:hint="eastAsia" w:ascii="仿宋_GB2312" w:eastAsia="仿宋_GB2312"/>
          <w:bCs w:val="0"/>
          <w:color w:val="000000" w:themeColor="text1"/>
          <w:sz w:val="32"/>
          <w:szCs w:val="32"/>
        </w:rPr>
        <w:t>”即：一云承载、一网通达、一池共享、一事通办、一体安全“</w:t>
      </w:r>
      <w:r>
        <w:rPr>
          <w:rFonts w:eastAsia="仿宋_GB2312"/>
          <w:bCs w:val="0"/>
          <w:color w:val="000000" w:themeColor="text1"/>
          <w:sz w:val="32"/>
          <w:szCs w:val="32"/>
        </w:rPr>
        <w:t>5</w:t>
      </w:r>
      <w:r>
        <w:rPr>
          <w:rFonts w:hint="eastAsia" w:ascii="仿宋_GB2312" w:eastAsia="仿宋_GB2312"/>
          <w:bCs w:val="0"/>
          <w:color w:val="000000" w:themeColor="text1"/>
          <w:sz w:val="32"/>
          <w:szCs w:val="32"/>
        </w:rPr>
        <w:t>”个一政务数据治理新模式；</w:t>
      </w:r>
    </w:p>
    <w:p>
      <w:pPr>
        <w:pStyle w:val="33"/>
        <w:spacing w:before="0" w:after="0" w:line="600" w:lineRule="exact"/>
        <w:ind w:firstLine="680" w:firstLineChars="200"/>
        <w:jc w:val="both"/>
        <w:rPr>
          <w:rFonts w:ascii="仿宋_GB2312" w:eastAsia="仿宋_GB2312"/>
          <w:bCs w:val="0"/>
          <w:color w:val="000000" w:themeColor="text1"/>
          <w:sz w:val="32"/>
          <w:szCs w:val="32"/>
        </w:rPr>
      </w:pPr>
      <w:r>
        <w:rPr>
          <w:rFonts w:hint="eastAsia" w:ascii="仿宋_GB2312" w:eastAsia="仿宋_GB2312"/>
          <w:bCs w:val="0"/>
          <w:color w:val="000000" w:themeColor="text1"/>
          <w:sz w:val="32"/>
          <w:szCs w:val="32"/>
        </w:rPr>
        <w:t>“</w:t>
      </w:r>
      <w:r>
        <w:rPr>
          <w:rFonts w:eastAsia="仿宋_GB2312"/>
          <w:bCs w:val="0"/>
          <w:color w:val="000000" w:themeColor="text1"/>
          <w:sz w:val="32"/>
          <w:szCs w:val="32"/>
        </w:rPr>
        <w:t>3</w:t>
      </w:r>
      <w:r>
        <w:rPr>
          <w:rFonts w:hint="eastAsia" w:ascii="仿宋_GB2312" w:eastAsia="仿宋_GB2312"/>
          <w:bCs w:val="0"/>
          <w:color w:val="000000" w:themeColor="text1"/>
          <w:sz w:val="32"/>
          <w:szCs w:val="32"/>
        </w:rPr>
        <w:t>”即：形成数字政府、数字社会、数字经济“</w:t>
      </w:r>
      <w:r>
        <w:rPr>
          <w:rFonts w:eastAsia="仿宋_GB2312"/>
          <w:bCs w:val="0"/>
          <w:color w:val="000000" w:themeColor="text1"/>
          <w:sz w:val="32"/>
          <w:szCs w:val="32"/>
        </w:rPr>
        <w:t>3</w:t>
      </w:r>
      <w:r>
        <w:rPr>
          <w:rFonts w:hint="eastAsia" w:ascii="仿宋_GB2312" w:eastAsia="仿宋_GB2312"/>
          <w:bCs w:val="0"/>
          <w:color w:val="000000" w:themeColor="text1"/>
          <w:sz w:val="32"/>
          <w:szCs w:val="32"/>
        </w:rPr>
        <w:t>”大板块协同发展；</w:t>
      </w:r>
    </w:p>
    <w:p>
      <w:pPr>
        <w:ind w:left="-2" w:leftChars="-1"/>
        <w:rPr>
          <w:rFonts w:ascii="仿宋_GB2312" w:eastAsia="仿宋_GB2312"/>
          <w:color w:val="000000" w:themeColor="text1"/>
        </w:rPr>
      </w:pPr>
      <w:r>
        <w:rPr>
          <w:color w:val="000000" w:themeColor="text1"/>
        </w:rPr>
        <w:drawing>
          <wp:inline distT="0" distB="0" distL="0" distR="0">
            <wp:extent cx="5399405" cy="43091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41967" cy="4343223"/>
                    </a:xfrm>
                    <a:prstGeom prst="rect">
                      <a:avLst/>
                    </a:prstGeom>
                  </pic:spPr>
                </pic:pic>
              </a:graphicData>
            </a:graphic>
          </wp:inline>
        </w:drawing>
      </w:r>
    </w:p>
    <w:p>
      <w:pPr>
        <w:pStyle w:val="19"/>
        <w:adjustRightInd w:val="0"/>
        <w:snapToGrid w:val="0"/>
        <w:spacing w:before="0" w:beforeAutospacing="0" w:after="0" w:afterAutospacing="0" w:line="590" w:lineRule="exact"/>
        <w:jc w:val="center"/>
        <w:rPr>
          <w:rFonts w:ascii="方正黑体_GBK" w:hAnsi="方正黑体_GBK" w:eastAsia="方正黑体_GBK" w:cs="方正黑体_GBK"/>
          <w:bCs/>
          <w:color w:val="000000" w:themeColor="text1"/>
          <w:kern w:val="21"/>
          <w:sz w:val="28"/>
          <w:szCs w:val="28"/>
        </w:rPr>
      </w:pPr>
      <w:r>
        <w:rPr>
          <w:rFonts w:hint="eastAsia" w:ascii="方正黑体_GBK" w:hAnsi="方正黑体_GBK" w:eastAsia="方正黑体_GBK" w:cs="方正黑体_GBK"/>
          <w:bCs/>
          <w:color w:val="000000" w:themeColor="text1"/>
          <w:kern w:val="21"/>
          <w:sz w:val="28"/>
          <w:szCs w:val="28"/>
        </w:rPr>
        <w:t>图</w:t>
      </w:r>
      <w:r>
        <w:rPr>
          <w:rFonts w:ascii="方正黑体_GBK" w:hAnsi="方正黑体_GBK" w:eastAsia="方正黑体_GBK" w:cs="方正黑体_GBK"/>
          <w:bCs/>
          <w:color w:val="000000" w:themeColor="text1"/>
          <w:kern w:val="21"/>
          <w:sz w:val="28"/>
          <w:szCs w:val="28"/>
        </w:rPr>
        <w:t>2</w:t>
      </w:r>
      <w:r>
        <w:rPr>
          <w:rFonts w:hint="eastAsia" w:ascii="方正黑体_GBK" w:hAnsi="方正黑体_GBK" w:eastAsia="方正黑体_GBK" w:cs="方正黑体_GBK"/>
          <w:bCs/>
          <w:color w:val="000000" w:themeColor="text1"/>
          <w:kern w:val="21"/>
          <w:sz w:val="28"/>
          <w:szCs w:val="28"/>
        </w:rPr>
        <w:t xml:space="preserve"> 数字玉林“</w:t>
      </w:r>
      <w:r>
        <w:rPr>
          <w:rFonts w:ascii="Times New Roman" w:hAnsi="Times New Roman" w:eastAsia="方正黑体_GBK"/>
          <w:b/>
          <w:color w:val="000000" w:themeColor="text1"/>
          <w:kern w:val="21"/>
          <w:sz w:val="28"/>
          <w:szCs w:val="28"/>
        </w:rPr>
        <w:t>1453</w:t>
      </w:r>
      <w:r>
        <w:rPr>
          <w:rFonts w:hint="eastAsia" w:ascii="方正黑体_GBK" w:hAnsi="方正黑体_GBK" w:eastAsia="方正黑体_GBK" w:cs="方正黑体_GBK"/>
          <w:bCs/>
          <w:color w:val="000000" w:themeColor="text1"/>
          <w:kern w:val="21"/>
          <w:sz w:val="28"/>
          <w:szCs w:val="28"/>
        </w:rPr>
        <w:t>”总体框架示意图</w:t>
      </w:r>
    </w:p>
    <w:p>
      <w:pPr>
        <w:pStyle w:val="5"/>
        <w:keepNext w:val="0"/>
        <w:keepLines w:val="0"/>
        <w:adjustRightInd w:val="0"/>
        <w:snapToGrid w:val="0"/>
        <w:spacing w:before="0" w:after="0" w:line="600" w:lineRule="exact"/>
        <w:ind w:firstLine="643"/>
        <w:jc w:val="both"/>
        <w:rPr>
          <w:rFonts w:ascii="楷体_GB2312" w:hAnsi="楷体_GB2312" w:cs="方正楷体_GBK"/>
          <w:bCs w:val="0"/>
          <w:color w:val="000000" w:themeColor="text1"/>
          <w:kern w:val="21"/>
        </w:rPr>
      </w:pPr>
      <w:bookmarkStart w:id="33" w:name="_Toc93409980"/>
      <w:r>
        <w:rPr>
          <w:rFonts w:ascii="楷体_GB2312" w:hAnsi="楷体_GB2312" w:cs="方正楷体_GBK"/>
          <w:bCs w:val="0"/>
          <w:color w:val="000000" w:themeColor="text1"/>
          <w:kern w:val="21"/>
        </w:rPr>
        <w:t>（</w:t>
      </w:r>
      <w:r>
        <w:rPr>
          <w:rFonts w:hint="eastAsia" w:ascii="楷体_GB2312" w:hAnsi="楷体_GB2312" w:cs="方正楷体_GBK"/>
          <w:bCs w:val="0"/>
          <w:color w:val="000000" w:themeColor="text1"/>
          <w:kern w:val="21"/>
        </w:rPr>
        <w:t>二</w:t>
      </w:r>
      <w:r>
        <w:rPr>
          <w:rFonts w:ascii="楷体_GB2312" w:hAnsi="楷体_GB2312" w:cs="方正楷体_GBK"/>
          <w:bCs w:val="0"/>
          <w:color w:val="000000" w:themeColor="text1"/>
          <w:kern w:val="21"/>
        </w:rPr>
        <w:t>）</w:t>
      </w:r>
      <w:r>
        <w:rPr>
          <w:rFonts w:hint="eastAsia" w:ascii="楷体_GB2312" w:hAnsi="楷体_GB2312" w:cs="方正楷体_GBK"/>
          <w:bCs w:val="0"/>
          <w:color w:val="000000" w:themeColor="text1"/>
          <w:kern w:val="21"/>
        </w:rPr>
        <w:t>实施路径</w:t>
      </w:r>
      <w:bookmarkEnd w:id="33"/>
    </w:p>
    <w:p>
      <w:pPr>
        <w:pStyle w:val="33"/>
        <w:spacing w:before="0" w:after="0" w:line="600" w:lineRule="exact"/>
        <w:ind w:firstLine="680" w:firstLineChars="200"/>
        <w:jc w:val="both"/>
        <w:rPr>
          <w:rFonts w:ascii="仿宋_GB2312" w:eastAsia="仿宋_GB2312"/>
          <w:bCs w:val="0"/>
          <w:color w:val="000000" w:themeColor="text1"/>
          <w:sz w:val="32"/>
          <w:szCs w:val="32"/>
        </w:rPr>
      </w:pPr>
      <w:r>
        <w:rPr>
          <w:rFonts w:hint="eastAsia" w:ascii="仿宋_GB2312" w:eastAsia="仿宋_GB2312"/>
          <w:bCs w:val="0"/>
          <w:color w:val="000000" w:themeColor="text1"/>
          <w:sz w:val="32"/>
          <w:szCs w:val="32"/>
        </w:rPr>
        <w:t>基于“数字玉林</w:t>
      </w:r>
      <w:r>
        <w:rPr>
          <w:rFonts w:eastAsia="仿宋_GB2312"/>
          <w:bCs w:val="0"/>
          <w:color w:val="000000" w:themeColor="text1"/>
          <w:sz w:val="32"/>
          <w:szCs w:val="32"/>
        </w:rPr>
        <w:t>1453</w:t>
      </w:r>
      <w:r>
        <w:rPr>
          <w:rFonts w:hint="eastAsia" w:ascii="仿宋_GB2312" w:eastAsia="仿宋_GB2312"/>
          <w:bCs w:val="0"/>
          <w:color w:val="000000" w:themeColor="text1"/>
          <w:sz w:val="32"/>
          <w:szCs w:val="32"/>
        </w:rPr>
        <w:t>”总体任务框架体系，</w:t>
      </w:r>
      <w:r>
        <w:rPr>
          <w:rFonts w:hint="eastAsia" w:ascii="黑体" w:hAnsi="黑体" w:eastAsia="黑体"/>
          <w:bCs w:val="0"/>
          <w:color w:val="000000" w:themeColor="text1"/>
          <w:sz w:val="32"/>
          <w:szCs w:val="32"/>
        </w:rPr>
        <w:t>聚力“添动力、慧中枢、强产业、重应用、促协同”</w:t>
      </w:r>
      <w:r>
        <w:rPr>
          <w:rFonts w:ascii="黑体" w:hAnsi="黑体" w:eastAsia="黑体"/>
          <w:bCs w:val="0"/>
          <w:color w:val="000000" w:themeColor="text1"/>
          <w:sz w:val="32"/>
          <w:szCs w:val="32"/>
        </w:rPr>
        <w:t>5</w:t>
      </w:r>
      <w:r>
        <w:rPr>
          <w:rFonts w:hint="eastAsia" w:ascii="黑体" w:hAnsi="黑体" w:eastAsia="黑体"/>
          <w:bCs w:val="0"/>
          <w:color w:val="000000" w:themeColor="text1"/>
          <w:sz w:val="32"/>
          <w:szCs w:val="32"/>
        </w:rPr>
        <w:t>个关键，</w:t>
      </w:r>
      <w:r>
        <w:rPr>
          <w:rFonts w:hint="eastAsia" w:ascii="仿宋_GB2312" w:eastAsia="仿宋_GB2312"/>
          <w:bCs w:val="0"/>
          <w:color w:val="000000" w:themeColor="text1"/>
          <w:sz w:val="32"/>
          <w:szCs w:val="32"/>
        </w:rPr>
        <w:t>重点实施</w:t>
      </w:r>
      <w:r>
        <w:rPr>
          <w:rFonts w:eastAsia="仿宋_GB2312"/>
          <w:bCs w:val="0"/>
          <w:color w:val="000000" w:themeColor="text1"/>
          <w:sz w:val="32"/>
          <w:szCs w:val="32"/>
        </w:rPr>
        <w:t>9</w:t>
      </w:r>
      <w:r>
        <w:rPr>
          <w:rFonts w:hint="eastAsia" w:ascii="仿宋_GB2312" w:eastAsia="仿宋_GB2312"/>
          <w:bCs w:val="0"/>
          <w:color w:val="000000" w:themeColor="text1"/>
          <w:sz w:val="32"/>
          <w:szCs w:val="32"/>
        </w:rPr>
        <w:t>项主要任务：奋力“添动力”，夯实数字基础支撑；奋力“慧中枢”，打造智慧城市中枢；奋力“强产业”，加快发展数字经济；奋力“重应用”，建设高效数字政府、增强数字社会治理、优化数字公共服务；奋力“促协同”，持续建设新型智慧城乡，深度融入数字广西发展新格局。</w:t>
      </w:r>
    </w:p>
    <w:p>
      <w:pPr>
        <w:pStyle w:val="5"/>
        <w:keepNext w:val="0"/>
        <w:keepLines w:val="0"/>
        <w:adjustRightInd w:val="0"/>
        <w:snapToGrid w:val="0"/>
        <w:spacing w:before="0" w:after="0" w:line="600" w:lineRule="exact"/>
        <w:ind w:firstLine="643"/>
        <w:jc w:val="both"/>
        <w:rPr>
          <w:rFonts w:ascii="楷体_GB2312" w:hAnsi="楷体_GB2312" w:cs="方正楷体_GBK"/>
          <w:bCs w:val="0"/>
          <w:color w:val="000000" w:themeColor="text1"/>
          <w:kern w:val="21"/>
        </w:rPr>
      </w:pPr>
      <w:bookmarkStart w:id="34" w:name="_Toc93409981"/>
      <w:r>
        <w:rPr>
          <w:rFonts w:hint="eastAsia" w:ascii="楷体_GB2312" w:hAnsi="楷体_GB2312" w:cs="方正楷体_GBK"/>
          <w:bCs w:val="0"/>
          <w:color w:val="000000" w:themeColor="text1"/>
          <w:kern w:val="21"/>
        </w:rPr>
        <w:t>（三）发展布局</w:t>
      </w:r>
      <w:bookmarkEnd w:id="34"/>
    </w:p>
    <w:p>
      <w:pPr>
        <w:pStyle w:val="33"/>
        <w:spacing w:before="0" w:after="0" w:line="600" w:lineRule="exact"/>
        <w:ind w:firstLine="680" w:firstLineChars="200"/>
        <w:jc w:val="both"/>
        <w:rPr>
          <w:rFonts w:ascii="楷体_GB2312" w:hAnsi="楷体_GB2312" w:eastAsia="楷体_GB2312"/>
          <w:bCs w:val="0"/>
          <w:color w:val="000000" w:themeColor="text1"/>
          <w:sz w:val="32"/>
          <w:szCs w:val="32"/>
        </w:rPr>
      </w:pPr>
      <w:r>
        <w:rPr>
          <w:rFonts w:hint="eastAsia" w:ascii="仿宋_GB2312" w:eastAsia="仿宋_GB2312"/>
          <w:bCs w:val="0"/>
          <w:color w:val="000000" w:themeColor="text1"/>
          <w:sz w:val="32"/>
          <w:szCs w:val="32"/>
        </w:rPr>
        <w:t>充分发挥区位和资源优势，加快“东融”“南向”开放合作战略部署，主动对接粤港澳大湾区、西部陆海新通道、长江经济带、海南自贸港等国家战略，全面深化与北部湾城市群的协同合作，提升玉林市在北部湾城市群中的影响力，围绕数字产业化、产业数字化的发展方向，发挥不同区域的主要特色，</w:t>
      </w:r>
      <w:r>
        <w:rPr>
          <w:rFonts w:hint="eastAsia" w:ascii="楷体_GB2312" w:hAnsi="楷体_GB2312" w:eastAsia="楷体_GB2312"/>
          <w:b/>
          <w:color w:val="000000" w:themeColor="text1"/>
          <w:sz w:val="32"/>
          <w:szCs w:val="32"/>
        </w:rPr>
        <w:t>形成“一核一区两带多点”的数字玉林发展格局</w:t>
      </w:r>
      <w:r>
        <w:rPr>
          <w:rFonts w:hint="eastAsia" w:ascii="楷体_GB2312" w:hAnsi="楷体_GB2312" w:eastAsia="楷体_GB2312"/>
          <w:bCs w:val="0"/>
          <w:color w:val="000000" w:themeColor="text1"/>
          <w:sz w:val="32"/>
          <w:szCs w:val="32"/>
        </w:rPr>
        <w:t>。</w:t>
      </w:r>
    </w:p>
    <w:p>
      <w:pPr>
        <w:pStyle w:val="33"/>
        <w:spacing w:line="276" w:lineRule="auto"/>
        <w:jc w:val="both"/>
        <w:rPr>
          <w:b/>
          <w:color w:val="000000" w:themeColor="text1"/>
          <w:sz w:val="32"/>
          <w:szCs w:val="32"/>
        </w:rPr>
      </w:pPr>
      <w:r>
        <w:rPr>
          <w:b/>
          <w:color w:val="000000" w:themeColor="text1"/>
          <w:sz w:val="32"/>
          <w:szCs w:val="32"/>
        </w:rPr>
        <w:drawing>
          <wp:inline distT="0" distB="0" distL="0" distR="0">
            <wp:extent cx="5213985" cy="4468495"/>
            <wp:effectExtent l="0" t="0" r="5715"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cstate="print">
                      <a:extLst>
                        <a:ext uri="{28A0092B-C50C-407E-A947-70E740481C1C}">
                          <a14:useLocalDpi xmlns:a14="http://schemas.microsoft.com/office/drawing/2010/main" val="0"/>
                        </a:ext>
                      </a:extLst>
                    </a:blip>
                    <a:srcRect t="4707"/>
                    <a:stretch>
                      <a:fillRect/>
                    </a:stretch>
                  </pic:blipFill>
                  <pic:spPr>
                    <a:xfrm>
                      <a:off x="0" y="0"/>
                      <a:ext cx="5234735" cy="4486249"/>
                    </a:xfrm>
                    <a:prstGeom prst="rect">
                      <a:avLst/>
                    </a:prstGeom>
                    <a:ln>
                      <a:noFill/>
                    </a:ln>
                  </pic:spPr>
                </pic:pic>
              </a:graphicData>
            </a:graphic>
          </wp:inline>
        </w:drawing>
      </w:r>
    </w:p>
    <w:p>
      <w:pPr>
        <w:pStyle w:val="19"/>
        <w:adjustRightInd w:val="0"/>
        <w:snapToGrid w:val="0"/>
        <w:spacing w:before="0" w:beforeAutospacing="0" w:after="0" w:afterAutospacing="0" w:line="590" w:lineRule="exact"/>
        <w:jc w:val="center"/>
        <w:rPr>
          <w:rFonts w:ascii="方正黑体_GBK" w:hAnsi="方正黑体_GBK" w:eastAsia="方正黑体_GBK" w:cs="方正黑体_GBK"/>
          <w:bCs/>
          <w:color w:val="000000" w:themeColor="text1"/>
          <w:kern w:val="21"/>
          <w:sz w:val="28"/>
          <w:szCs w:val="28"/>
        </w:rPr>
      </w:pPr>
      <w:r>
        <w:rPr>
          <w:rFonts w:hint="eastAsia" w:ascii="方正黑体_GBK" w:hAnsi="方正黑体_GBK" w:eastAsia="方正黑体_GBK" w:cs="方正黑体_GBK"/>
          <w:bCs/>
          <w:color w:val="000000" w:themeColor="text1"/>
          <w:kern w:val="21"/>
          <w:sz w:val="28"/>
          <w:szCs w:val="28"/>
        </w:rPr>
        <w:t>图</w:t>
      </w:r>
      <w:r>
        <w:rPr>
          <w:rFonts w:ascii="方正黑体_GBK" w:hAnsi="方正黑体_GBK" w:eastAsia="方正黑体_GBK" w:cs="方正黑体_GBK"/>
          <w:bCs/>
          <w:color w:val="000000" w:themeColor="text1"/>
          <w:kern w:val="21"/>
          <w:sz w:val="28"/>
          <w:szCs w:val="28"/>
        </w:rPr>
        <w:t>3</w:t>
      </w:r>
      <w:r>
        <w:rPr>
          <w:rFonts w:hint="eastAsia" w:ascii="方正黑体_GBK" w:hAnsi="方正黑体_GBK" w:eastAsia="方正黑体_GBK" w:cs="方正黑体_GBK"/>
          <w:bCs/>
          <w:color w:val="000000" w:themeColor="text1"/>
          <w:kern w:val="21"/>
          <w:sz w:val="28"/>
          <w:szCs w:val="28"/>
        </w:rPr>
        <w:t xml:space="preserve"> 数字玉林发展布局图</w:t>
      </w:r>
    </w:p>
    <w:p>
      <w:pPr>
        <w:pStyle w:val="6"/>
        <w:spacing w:before="0" w:after="0" w:line="600" w:lineRule="exact"/>
        <w:ind w:firstLine="643" w:firstLineChars="200"/>
        <w:rPr>
          <w:rFonts w:eastAsia="楷体_GB2312"/>
          <w:color w:val="000000" w:themeColor="text1"/>
        </w:rPr>
      </w:pPr>
      <w:bookmarkStart w:id="35" w:name="_Toc93409982"/>
      <w:r>
        <w:rPr>
          <w:rFonts w:hint="eastAsia" w:eastAsia="楷体_GB2312"/>
          <w:color w:val="000000" w:themeColor="text1"/>
        </w:rPr>
        <w:t>1</w:t>
      </w:r>
      <w:r>
        <w:rPr>
          <w:rFonts w:eastAsia="楷体_GB2312"/>
          <w:color w:val="000000" w:themeColor="text1"/>
        </w:rPr>
        <w:t>.</w:t>
      </w:r>
      <w:r>
        <w:rPr>
          <w:rFonts w:hint="eastAsia" w:eastAsia="楷体_GB2312"/>
          <w:color w:val="000000" w:themeColor="text1"/>
        </w:rPr>
        <w:t>“一核”——数字玉林核心发展区</w:t>
      </w:r>
      <w:bookmarkEnd w:id="35"/>
    </w:p>
    <w:p>
      <w:pPr>
        <w:pStyle w:val="33"/>
        <w:spacing w:before="0" w:after="0" w:line="600" w:lineRule="exact"/>
        <w:ind w:firstLine="680" w:firstLineChars="200"/>
        <w:jc w:val="both"/>
        <w:rPr>
          <w:rFonts w:ascii="仿宋_GB2312" w:eastAsia="仿宋_GB2312"/>
          <w:bCs w:val="0"/>
          <w:color w:val="000000" w:themeColor="text1"/>
          <w:sz w:val="32"/>
          <w:szCs w:val="32"/>
        </w:rPr>
      </w:pPr>
      <w:r>
        <w:rPr>
          <w:rFonts w:hint="eastAsia" w:ascii="仿宋_GB2312" w:eastAsia="仿宋_GB2312"/>
          <w:bCs w:val="0"/>
          <w:color w:val="000000" w:themeColor="text1"/>
          <w:sz w:val="32"/>
          <w:szCs w:val="32"/>
        </w:rPr>
        <w:t>按照“夯实基础、整合资源、赋能融合、引育孵化”的发展思路，依托玉林大数据生态产业园、玉林孪生计算与大数据云服务中心、玉林云计算大数据中心、玉林市公共安全大数据中心，打造数字玉林产业发展核心区，承载全市统一数据存储平台、统</w:t>
      </w:r>
      <w:r>
        <w:rPr>
          <w:rFonts w:eastAsia="仿宋_GB2312"/>
          <w:bCs w:val="0"/>
          <w:color w:val="000000" w:themeColor="text1"/>
          <w:sz w:val="32"/>
          <w:szCs w:val="32"/>
        </w:rPr>
        <w:t>一AI算</w:t>
      </w:r>
      <w:r>
        <w:rPr>
          <w:rFonts w:hint="eastAsia" w:ascii="仿宋_GB2312" w:eastAsia="仿宋_GB2312"/>
          <w:bCs w:val="0"/>
          <w:color w:val="000000" w:themeColor="text1"/>
          <w:sz w:val="32"/>
          <w:szCs w:val="32"/>
        </w:rPr>
        <w:t>力平台、“城市大脑”智慧中枢等核心功能，逐步发展成为数字玉林创新要素集聚区、策源地和经济增长新引擎。</w:t>
      </w:r>
    </w:p>
    <w:p>
      <w:pPr>
        <w:pStyle w:val="6"/>
        <w:spacing w:before="0" w:after="0" w:line="600" w:lineRule="exact"/>
        <w:ind w:firstLine="643" w:firstLineChars="200"/>
        <w:rPr>
          <w:rFonts w:eastAsia="楷体_GB2312"/>
          <w:color w:val="000000" w:themeColor="text1"/>
        </w:rPr>
      </w:pPr>
      <w:bookmarkStart w:id="36" w:name="_Toc93409983"/>
      <w:r>
        <w:rPr>
          <w:rFonts w:hint="eastAsia" w:eastAsia="楷体_GB2312"/>
          <w:color w:val="000000" w:themeColor="text1"/>
        </w:rPr>
        <w:t>2</w:t>
      </w:r>
      <w:r>
        <w:rPr>
          <w:rFonts w:eastAsia="楷体_GB2312"/>
          <w:color w:val="000000" w:themeColor="text1"/>
        </w:rPr>
        <w:t>.</w:t>
      </w:r>
      <w:r>
        <w:rPr>
          <w:rFonts w:hint="eastAsia" w:eastAsia="楷体_GB2312"/>
          <w:color w:val="000000" w:themeColor="text1"/>
        </w:rPr>
        <w:t>“一区”——数字经济赋能实体经济示范区</w:t>
      </w:r>
      <w:bookmarkEnd w:id="36"/>
    </w:p>
    <w:p>
      <w:pPr>
        <w:pStyle w:val="33"/>
        <w:spacing w:before="0" w:after="0" w:line="600" w:lineRule="exact"/>
        <w:ind w:firstLine="680" w:firstLineChars="200"/>
        <w:jc w:val="both"/>
        <w:rPr>
          <w:rFonts w:ascii="仿宋_GB2312" w:eastAsia="仿宋_GB2312"/>
          <w:bCs w:val="0"/>
          <w:color w:val="000000" w:themeColor="text1"/>
          <w:sz w:val="32"/>
          <w:szCs w:val="32"/>
        </w:rPr>
      </w:pPr>
      <w:r>
        <w:rPr>
          <w:rFonts w:hint="eastAsia" w:ascii="仿宋_GB2312" w:eastAsia="仿宋_GB2312"/>
          <w:bCs w:val="0"/>
          <w:color w:val="000000" w:themeColor="text1"/>
          <w:sz w:val="32"/>
          <w:szCs w:val="32"/>
        </w:rPr>
        <w:t>以广西先进装备制造城（玉林）、玉林龙潭产业园区、中医药健康产业园为基础，辐射陆川县工业集中区的传统品牌，着力探索传统制造业、农业、服务业数字化融合发展路径，形成产业数字化发展玉林经验，打造数字经济赋能实体经济示范区。</w:t>
      </w:r>
    </w:p>
    <w:p>
      <w:pPr>
        <w:pStyle w:val="6"/>
        <w:spacing w:before="0" w:after="0" w:line="600" w:lineRule="exact"/>
        <w:ind w:firstLine="643" w:firstLineChars="200"/>
        <w:rPr>
          <w:rFonts w:ascii="楷体_GB2312" w:hAnsi="楷体_GB2312" w:eastAsia="楷体_GB2312"/>
          <w:color w:val="000000" w:themeColor="text1"/>
        </w:rPr>
      </w:pPr>
      <w:bookmarkStart w:id="37" w:name="_Toc93409984"/>
      <w:r>
        <w:rPr>
          <w:rFonts w:eastAsia="楷体_GB2312"/>
          <w:color w:val="000000" w:themeColor="text1"/>
        </w:rPr>
        <w:t>3.</w:t>
      </w:r>
      <w:r>
        <w:rPr>
          <w:rFonts w:hint="eastAsia" w:ascii="楷体_GB2312" w:hAnsi="楷体_GB2312" w:eastAsia="楷体_GB2312"/>
          <w:color w:val="000000" w:themeColor="text1"/>
        </w:rPr>
        <w:t>“两带”——数字经济产业融合发展带</w:t>
      </w:r>
      <w:bookmarkEnd w:id="37"/>
    </w:p>
    <w:p>
      <w:pPr>
        <w:pStyle w:val="33"/>
        <w:spacing w:before="0" w:after="0" w:line="600" w:lineRule="exact"/>
        <w:ind w:firstLine="680" w:firstLineChars="200"/>
        <w:jc w:val="both"/>
        <w:rPr>
          <w:rFonts w:ascii="仿宋_GB2312" w:eastAsia="仿宋_GB2312"/>
          <w:bCs w:val="0"/>
          <w:color w:val="000000" w:themeColor="text1"/>
          <w:sz w:val="32"/>
          <w:szCs w:val="32"/>
        </w:rPr>
      </w:pPr>
      <w:r>
        <w:rPr>
          <w:rFonts w:hint="eastAsia" w:ascii="仿宋_GB2312" w:eastAsia="仿宋_GB2312"/>
          <w:bCs w:val="0"/>
          <w:color w:val="000000" w:themeColor="text1"/>
          <w:sz w:val="32"/>
          <w:szCs w:val="32"/>
        </w:rPr>
        <w:t>即以跨境产业链发展为主的“中国（玉林）-东盟跨境合作产业带”和以服务治理跨区域协同为主的“两湾服务治理协同合作示范带”。</w:t>
      </w:r>
    </w:p>
    <w:p>
      <w:pPr>
        <w:pStyle w:val="33"/>
        <w:spacing w:before="0" w:after="0" w:line="600" w:lineRule="exact"/>
        <w:ind w:firstLine="683" w:firstLineChars="200"/>
        <w:jc w:val="both"/>
        <w:rPr>
          <w:rFonts w:ascii="仿宋_GB2312" w:eastAsia="仿宋_GB2312"/>
          <w:bCs w:val="0"/>
          <w:color w:val="000000" w:themeColor="text1"/>
          <w:sz w:val="32"/>
          <w:szCs w:val="32"/>
        </w:rPr>
      </w:pPr>
      <w:r>
        <w:rPr>
          <w:rFonts w:hint="eastAsia" w:ascii="楷体_GB2312" w:hAnsi="楷体_GB2312" w:eastAsia="楷体_GB2312"/>
          <w:b/>
          <w:color w:val="000000" w:themeColor="text1"/>
          <w:sz w:val="32"/>
          <w:szCs w:val="32"/>
        </w:rPr>
        <w:t>中国（玉林）-东盟跨境合作产业带。</w:t>
      </w:r>
      <w:r>
        <w:rPr>
          <w:rFonts w:hint="eastAsia" w:ascii="仿宋_GB2312" w:eastAsia="仿宋_GB2312"/>
          <w:bCs w:val="0"/>
          <w:color w:val="000000" w:themeColor="text1"/>
          <w:sz w:val="32"/>
          <w:szCs w:val="32"/>
        </w:rPr>
        <w:t>依托玉林新材料生态产业园区、玉林（福绵）节能环保生态产业园、玉林龙潭产业园区、广西先进装备制造城（玉林）、玉林高新技术产业开发区、广西（北流）轻工产业园、玉林中医药健康产业园、玉林福绵国际电商牛仔轻纺城，建设中国（玉林）-东盟区域特色贸易品牌，打造跨境电商试点示范，以构建跨境电商、跨境电子信息、智能汽车跨境产业链为主要方向，形成联结两湾和东盟的跨境合作产业带。</w:t>
      </w:r>
    </w:p>
    <w:p>
      <w:pPr>
        <w:pStyle w:val="33"/>
        <w:spacing w:before="0" w:after="0" w:line="600" w:lineRule="exact"/>
        <w:ind w:firstLine="683" w:firstLineChars="200"/>
        <w:jc w:val="both"/>
        <w:rPr>
          <w:rFonts w:ascii="仿宋_GB2312" w:eastAsia="仿宋_GB2312"/>
          <w:bCs w:val="0"/>
          <w:color w:val="000000" w:themeColor="text1"/>
          <w:sz w:val="32"/>
          <w:szCs w:val="32"/>
        </w:rPr>
      </w:pPr>
      <w:r>
        <w:rPr>
          <w:rFonts w:hint="eastAsia" w:ascii="楷体_GB2312" w:hAnsi="楷体_GB2312" w:eastAsia="楷体_GB2312"/>
          <w:b/>
          <w:color w:val="000000" w:themeColor="text1"/>
          <w:sz w:val="32"/>
          <w:szCs w:val="32"/>
        </w:rPr>
        <w:t>两湾服务治理协同合作示范带。</w:t>
      </w:r>
      <w:r>
        <w:rPr>
          <w:rFonts w:hint="eastAsia" w:ascii="仿宋_GB2312" w:eastAsia="仿宋_GB2312"/>
          <w:bCs w:val="0"/>
          <w:color w:val="000000" w:themeColor="text1"/>
          <w:sz w:val="32"/>
          <w:szCs w:val="32"/>
        </w:rPr>
        <w:t>按照“五个一”的发展新模式，充分发挥“壮美广西·玉林政务（鲲鹏）云”的承载作用，以玉州区玉林孪生计算与大数据云服务中心和玉林市公共安全大数据中心为支撑底座，依托博白县数据湖、容县“智慧侨乡”等重点项目，探索跨区域服务治理协同合作机制，在数字政府、数字治理等方面开展两湾协同先行先试。</w:t>
      </w:r>
    </w:p>
    <w:p>
      <w:pPr>
        <w:pStyle w:val="6"/>
        <w:spacing w:before="0" w:after="0" w:line="600" w:lineRule="exact"/>
        <w:ind w:firstLine="643" w:firstLineChars="200"/>
        <w:rPr>
          <w:rFonts w:eastAsia="楷体_GB2312"/>
          <w:color w:val="000000" w:themeColor="text1"/>
        </w:rPr>
      </w:pPr>
      <w:bookmarkStart w:id="38" w:name="_Toc93409985"/>
      <w:r>
        <w:rPr>
          <w:rFonts w:hint="eastAsia" w:eastAsia="楷体_GB2312"/>
          <w:color w:val="000000" w:themeColor="text1"/>
        </w:rPr>
        <w:t>4</w:t>
      </w:r>
      <w:r>
        <w:rPr>
          <w:rFonts w:eastAsia="楷体_GB2312"/>
          <w:color w:val="000000" w:themeColor="text1"/>
        </w:rPr>
        <w:t>.</w:t>
      </w:r>
      <w:r>
        <w:rPr>
          <w:rFonts w:hint="eastAsia" w:eastAsia="楷体_GB2312"/>
          <w:color w:val="000000" w:themeColor="text1"/>
        </w:rPr>
        <w:t>“多点”——数字玉林多点支撑新格局</w:t>
      </w:r>
      <w:bookmarkEnd w:id="38"/>
    </w:p>
    <w:p>
      <w:pPr>
        <w:pStyle w:val="33"/>
        <w:spacing w:before="0" w:after="0" w:line="600" w:lineRule="exact"/>
        <w:ind w:firstLine="680" w:firstLineChars="200"/>
        <w:jc w:val="both"/>
        <w:rPr>
          <w:rFonts w:ascii="仿宋_GB2312" w:eastAsia="仿宋_GB2312"/>
          <w:bCs w:val="0"/>
          <w:color w:val="000000" w:themeColor="text1"/>
          <w:sz w:val="32"/>
          <w:szCs w:val="32"/>
        </w:rPr>
      </w:pPr>
      <w:r>
        <w:rPr>
          <w:rFonts w:hint="eastAsia" w:ascii="仿宋_GB2312" w:eastAsia="仿宋_GB2312"/>
          <w:bCs w:val="0"/>
          <w:color w:val="000000" w:themeColor="text1"/>
          <w:sz w:val="32"/>
          <w:szCs w:val="32"/>
        </w:rPr>
        <w:t>针对不同区域的产业优势和建设基础，鼓励各区县聚焦重点领域，集中要素资源，形成具有鲜明特色的数字玉林多点支撑新格局。</w:t>
      </w:r>
    </w:p>
    <w:p>
      <w:pPr>
        <w:pStyle w:val="33"/>
        <w:spacing w:before="0" w:after="0" w:line="600" w:lineRule="exact"/>
        <w:ind w:firstLine="683" w:firstLineChars="200"/>
        <w:jc w:val="both"/>
        <w:rPr>
          <w:rFonts w:ascii="仿宋_GB2312" w:eastAsia="仿宋_GB2312"/>
          <w:bCs w:val="0"/>
          <w:color w:val="000000" w:themeColor="text1"/>
          <w:sz w:val="32"/>
          <w:szCs w:val="32"/>
        </w:rPr>
      </w:pPr>
      <w:r>
        <w:rPr>
          <w:rFonts w:hint="eastAsia" w:ascii="楷体_GB2312" w:hAnsi="楷体_GB2312" w:eastAsia="楷体_GB2312"/>
          <w:b/>
          <w:color w:val="000000" w:themeColor="text1"/>
          <w:sz w:val="32"/>
          <w:szCs w:val="32"/>
        </w:rPr>
        <w:t>玉州区：</w:t>
      </w:r>
      <w:r>
        <w:rPr>
          <w:rFonts w:hint="eastAsia" w:ascii="仿宋_GB2312" w:eastAsia="仿宋_GB2312"/>
          <w:bCs w:val="0"/>
          <w:color w:val="000000" w:themeColor="text1"/>
          <w:sz w:val="32"/>
          <w:szCs w:val="32"/>
        </w:rPr>
        <w:t>围绕建设“两都一区”</w:t>
      </w:r>
      <w:r>
        <w:rPr>
          <w:rStyle w:val="27"/>
          <w:rFonts w:ascii="仿宋_GB2312" w:eastAsia="仿宋_GB2312"/>
          <w:bCs w:val="0"/>
          <w:color w:val="000000" w:themeColor="text1"/>
          <w:sz w:val="32"/>
          <w:szCs w:val="32"/>
        </w:rPr>
        <w:footnoteReference w:id="2"/>
      </w:r>
      <w:r>
        <w:rPr>
          <w:rFonts w:hint="eastAsia" w:ascii="仿宋_GB2312" w:eastAsia="仿宋_GB2312"/>
          <w:bCs w:val="0"/>
          <w:color w:val="000000" w:themeColor="text1"/>
          <w:sz w:val="32"/>
          <w:szCs w:val="32"/>
        </w:rPr>
        <w:t>目标，依托玉柴机器、玉林制药的行业优势，围绕数字化工厂、智能产线、工业互联网内网网络标杆试点、自动化生产改造等智能制造重点项目，积极推进广西先进装备制造城建设，新华源、同方计算机玉林基地一期、玉柴新能源汽车、长源东谷、埃贝赫、金特安等项目成投产，打造玉林从传统产业向数字化转型的示范基地。发挥区位商贸集聚优势，依托商贸专业市场，大力发展互联网电商、社交电商、直播电商，推进贸易生态线上化、数字化转型发展，将玉林骑楼街特色夜市街区、玉林牛腩粉特色饮食商业街区、文化广场啤酒美食商业街等纳入自治区级夜间经济特色消费集聚区建设，打造数字经济消费新场景。</w:t>
      </w:r>
    </w:p>
    <w:p>
      <w:pPr>
        <w:pStyle w:val="33"/>
        <w:spacing w:before="0" w:after="0" w:line="600" w:lineRule="exact"/>
        <w:ind w:firstLine="683" w:firstLineChars="200"/>
        <w:jc w:val="both"/>
        <w:rPr>
          <w:rFonts w:ascii="仿宋_GB2312" w:eastAsia="仿宋_GB2312"/>
          <w:bCs w:val="0"/>
          <w:color w:val="000000" w:themeColor="text1"/>
          <w:sz w:val="32"/>
          <w:szCs w:val="32"/>
        </w:rPr>
      </w:pPr>
      <w:r>
        <w:rPr>
          <w:rFonts w:hint="eastAsia" w:ascii="楷体_GB2312" w:hAnsi="楷体_GB2312" w:eastAsia="楷体_GB2312"/>
          <w:b/>
          <w:color w:val="000000" w:themeColor="text1"/>
          <w:sz w:val="32"/>
          <w:szCs w:val="32"/>
        </w:rPr>
        <w:t>福绵区：</w:t>
      </w:r>
      <w:r>
        <w:rPr>
          <w:rFonts w:hint="eastAsia" w:ascii="仿宋_GB2312" w:eastAsia="仿宋_GB2312"/>
          <w:bCs w:val="0"/>
          <w:color w:val="000000" w:themeColor="text1"/>
          <w:sz w:val="32"/>
          <w:szCs w:val="32"/>
        </w:rPr>
        <w:t>大力推进玉林福绵国际电商牛仔轻纺城投产运营。依托广西农贝贝自动化智能养殖生态示范区建设，探索互联网、大数据与农业的深度融合发展；依托玉林坤达智能化工厂、玉林鑫坚饲料智能化工厂、精记拉链数字化车间等项目，实施产业“上云用数赋智”工程，推动数字经济和实体经济深度融合。</w:t>
      </w:r>
    </w:p>
    <w:p>
      <w:pPr>
        <w:pStyle w:val="33"/>
        <w:spacing w:before="0" w:after="0" w:line="600" w:lineRule="exact"/>
        <w:ind w:firstLine="683" w:firstLineChars="200"/>
        <w:jc w:val="both"/>
        <w:rPr>
          <w:rFonts w:ascii="仿宋_GB2312" w:eastAsia="仿宋_GB2312"/>
          <w:bCs w:val="0"/>
          <w:color w:val="000000" w:themeColor="text1"/>
          <w:sz w:val="32"/>
          <w:szCs w:val="32"/>
        </w:rPr>
      </w:pPr>
      <w:r>
        <w:rPr>
          <w:rFonts w:hint="eastAsia" w:ascii="楷体_GB2312" w:hAnsi="楷体_GB2312" w:eastAsia="楷体_GB2312"/>
          <w:b/>
          <w:color w:val="000000" w:themeColor="text1"/>
          <w:sz w:val="32"/>
          <w:szCs w:val="32"/>
        </w:rPr>
        <w:t>玉东新区：</w:t>
      </w:r>
      <w:r>
        <w:rPr>
          <w:rFonts w:hint="eastAsia" w:ascii="仿宋_GB2312" w:eastAsia="仿宋_GB2312"/>
          <w:bCs w:val="0"/>
          <w:color w:val="000000" w:themeColor="text1"/>
          <w:sz w:val="32"/>
          <w:szCs w:val="32"/>
        </w:rPr>
        <w:t>以玉林数字经济城建设为载体，依托瞳桦电商、亚视乡村振兴电商、启点电商等直播基地，重点发展以垂直电商、直播经济等为主的电子商务产业，建设玉林特色名品云服务平台，开发培育电商生态圈；大力发展大数据、人工智能、物联网、</w:t>
      </w:r>
      <w:r>
        <w:rPr>
          <w:rFonts w:eastAsia="仿宋_GB2312"/>
          <w:bCs w:val="0"/>
          <w:color w:val="000000" w:themeColor="text1"/>
          <w:sz w:val="32"/>
          <w:szCs w:val="32"/>
        </w:rPr>
        <w:t>5G</w:t>
      </w:r>
      <w:r>
        <w:rPr>
          <w:rFonts w:hint="eastAsia" w:ascii="仿宋_GB2312" w:eastAsia="仿宋_GB2312"/>
          <w:bCs w:val="0"/>
          <w:color w:val="000000" w:themeColor="text1"/>
          <w:sz w:val="32"/>
          <w:szCs w:val="32"/>
        </w:rPr>
        <w:t>等数字经济产业，支持具有产业链、供应链带动能力的核心企业打造产业“数据中台”，加快培强产业服务新生态。</w:t>
      </w:r>
    </w:p>
    <w:p>
      <w:pPr>
        <w:pStyle w:val="33"/>
        <w:spacing w:line="600" w:lineRule="exact"/>
        <w:ind w:firstLine="683" w:firstLineChars="200"/>
        <w:jc w:val="both"/>
        <w:rPr>
          <w:rFonts w:ascii="仿宋_GB2312" w:eastAsia="仿宋_GB2312"/>
          <w:bCs w:val="0"/>
          <w:color w:val="000000" w:themeColor="text1"/>
          <w:sz w:val="32"/>
          <w:szCs w:val="32"/>
        </w:rPr>
      </w:pPr>
      <w:r>
        <w:rPr>
          <w:rFonts w:hint="eastAsia" w:ascii="楷体_GB2312" w:hAnsi="楷体_GB2312" w:eastAsia="楷体_GB2312"/>
          <w:b/>
          <w:color w:val="000000" w:themeColor="text1"/>
          <w:sz w:val="32"/>
          <w:szCs w:val="32"/>
        </w:rPr>
        <w:t>北流市：</w:t>
      </w:r>
      <w:r>
        <w:rPr>
          <w:rFonts w:hint="eastAsia" w:ascii="仿宋_GB2312" w:eastAsia="仿宋_GB2312"/>
          <w:bCs w:val="0"/>
          <w:color w:val="000000" w:themeColor="text1"/>
          <w:sz w:val="32"/>
          <w:szCs w:val="32"/>
        </w:rPr>
        <w:t>依托北流市智慧县域一期项目、北流市电子商务进农村综合示范项目，通过利用物联网、云计算、人工智能、大数据等信息技术手段，结合城市现有信息化基础，融合城市可持续化运营理念，改善城市运行效率、提高社会治理能力、提升民生幸福指数、推动数字化产业发展;以数字技术与农业农村经济深度融合为主攻方向，以数字农业、电子商务等为主要业态，大力推进北流市农业农村数字化建设，用数字化引领驱动农业农村现代化。</w:t>
      </w:r>
    </w:p>
    <w:p>
      <w:pPr>
        <w:pStyle w:val="33"/>
        <w:spacing w:before="0" w:after="0" w:line="600" w:lineRule="exact"/>
        <w:ind w:firstLine="683" w:firstLineChars="200"/>
        <w:jc w:val="both"/>
        <w:rPr>
          <w:rFonts w:ascii="仿宋_GB2312" w:eastAsia="仿宋_GB2312"/>
          <w:bCs w:val="0"/>
          <w:color w:val="000000" w:themeColor="text1"/>
          <w:sz w:val="32"/>
          <w:szCs w:val="32"/>
        </w:rPr>
      </w:pPr>
      <w:r>
        <w:rPr>
          <w:rFonts w:hint="eastAsia" w:ascii="楷体_GB2312" w:hAnsi="楷体_GB2312" w:eastAsia="楷体_GB2312"/>
          <w:b/>
          <w:color w:val="000000" w:themeColor="text1"/>
          <w:sz w:val="32"/>
          <w:szCs w:val="32"/>
        </w:rPr>
        <w:t>容县：</w:t>
      </w:r>
      <w:r>
        <w:rPr>
          <w:rFonts w:hint="eastAsia" w:ascii="仿宋_GB2312" w:eastAsia="仿宋_GB2312"/>
          <w:bCs w:val="0"/>
          <w:color w:val="000000" w:themeColor="text1"/>
          <w:sz w:val="32"/>
          <w:szCs w:val="32"/>
        </w:rPr>
        <w:t>以容县“智慧侨乡”项目为抓手，发挥智慧城市运行管理平台的核心作用，提升城市的管理能力及服务民生水平，促进产业发展。以容县电子信息产业园、容县经济开发区为平台，围绕新一代信息技术，打造移动通信设备、智能家居、智能终端等产业链，推动电子信息产业高端化。</w:t>
      </w:r>
    </w:p>
    <w:p>
      <w:pPr>
        <w:pStyle w:val="33"/>
        <w:spacing w:before="0" w:after="0" w:line="600" w:lineRule="exact"/>
        <w:ind w:firstLine="683" w:firstLineChars="200"/>
        <w:jc w:val="both"/>
        <w:rPr>
          <w:rFonts w:ascii="仿宋_GB2312" w:eastAsia="仿宋_GB2312"/>
          <w:bCs w:val="0"/>
          <w:color w:val="000000" w:themeColor="text1"/>
          <w:sz w:val="32"/>
          <w:szCs w:val="32"/>
        </w:rPr>
      </w:pPr>
      <w:r>
        <w:rPr>
          <w:rFonts w:hint="eastAsia" w:ascii="楷体_GB2312" w:hAnsi="楷体_GB2312" w:eastAsia="楷体_GB2312"/>
          <w:b/>
          <w:color w:val="000000" w:themeColor="text1"/>
          <w:sz w:val="32"/>
          <w:szCs w:val="32"/>
        </w:rPr>
        <w:t>博白县：</w:t>
      </w:r>
      <w:r>
        <w:rPr>
          <w:rFonts w:hint="eastAsia" w:ascii="仿宋_GB2312" w:eastAsia="仿宋_GB2312"/>
          <w:bCs w:val="0"/>
          <w:color w:val="000000" w:themeColor="text1"/>
          <w:sz w:val="32"/>
          <w:szCs w:val="32"/>
        </w:rPr>
        <w:t>以博白县数据湖项目为载体，聚焦平安城市、智慧城市建设，围绕智慧停车、平安家园、防溺水系统等应用场景，大力发展数字安全、大数据、云计算、物联网等产业方向，打造玉林数字治理示范试点。</w:t>
      </w:r>
    </w:p>
    <w:p>
      <w:pPr>
        <w:pStyle w:val="33"/>
        <w:spacing w:before="0" w:after="0" w:line="600" w:lineRule="exact"/>
        <w:ind w:firstLine="683" w:firstLineChars="200"/>
        <w:jc w:val="both"/>
        <w:rPr>
          <w:rFonts w:ascii="仿宋_GB2312" w:eastAsia="仿宋_GB2312"/>
          <w:bCs w:val="0"/>
          <w:color w:val="000000" w:themeColor="text1"/>
          <w:sz w:val="32"/>
          <w:szCs w:val="32"/>
        </w:rPr>
      </w:pPr>
      <w:r>
        <w:rPr>
          <w:rFonts w:hint="eastAsia" w:ascii="楷体_GB2312" w:hAnsi="楷体_GB2312" w:eastAsia="楷体_GB2312"/>
          <w:b/>
          <w:color w:val="000000" w:themeColor="text1"/>
          <w:sz w:val="32"/>
          <w:szCs w:val="32"/>
        </w:rPr>
        <w:t>兴业县：</w:t>
      </w:r>
      <w:r>
        <w:rPr>
          <w:rFonts w:hint="eastAsia" w:ascii="仿宋_GB2312" w:eastAsia="仿宋_GB2312"/>
          <w:bCs w:val="0"/>
          <w:color w:val="000000" w:themeColor="text1"/>
          <w:sz w:val="32"/>
          <w:szCs w:val="32"/>
        </w:rPr>
        <w:t>依托兴业县现代特色农业示范区政策优势，发挥兴业县现代智慧农业信息平台基础支撑能力，推动信息技术和智能装备在农业生产经营中的应用；建设兴业直播带货基地，发展直播电商、短视频带货等新业态，打造玉林推进乡村振兴发展试点。</w:t>
      </w:r>
    </w:p>
    <w:p>
      <w:pPr>
        <w:pStyle w:val="33"/>
        <w:spacing w:before="0" w:after="0" w:line="600" w:lineRule="exact"/>
        <w:ind w:firstLine="683" w:firstLineChars="200"/>
        <w:jc w:val="both"/>
        <w:rPr>
          <w:rFonts w:ascii="仿宋_GB2312" w:eastAsia="仿宋_GB2312"/>
          <w:bCs w:val="0"/>
          <w:color w:val="000000" w:themeColor="text1"/>
          <w:sz w:val="32"/>
          <w:szCs w:val="32"/>
        </w:rPr>
      </w:pPr>
      <w:r>
        <w:rPr>
          <w:rFonts w:hint="eastAsia" w:ascii="楷体_GB2312" w:hAnsi="楷体_GB2312" w:eastAsia="楷体_GB2312"/>
          <w:b/>
          <w:color w:val="000000" w:themeColor="text1"/>
          <w:sz w:val="32"/>
          <w:szCs w:val="32"/>
        </w:rPr>
        <w:t>陆川县：</w:t>
      </w:r>
      <w:r>
        <w:rPr>
          <w:rFonts w:hint="eastAsia" w:ascii="仿宋_GB2312" w:eastAsia="仿宋_GB2312"/>
          <w:bCs w:val="0"/>
          <w:color w:val="000000" w:themeColor="text1"/>
          <w:sz w:val="32"/>
          <w:szCs w:val="32"/>
        </w:rPr>
        <w:t>依托恒和纺织科技“智慧纺纱生产管理平台”，持续推动大数据和工业深度融合，充分发挥陆川汽车运输业“汽车王国”优势，依托陆川现代物流、陆川猪、陆川铁锅、重工机械、健康食品等特色优势企业走向全国乃至走向世界，打造全国物流知名品牌，培养和扶持陆川传统名牌产业“走出去”。</w:t>
      </w:r>
    </w:p>
    <w:p>
      <w:pPr>
        <w:pStyle w:val="44"/>
      </w:pPr>
    </w:p>
    <w:p>
      <w:pPr>
        <w:pStyle w:val="4"/>
        <w:keepNext w:val="0"/>
        <w:keepLines w:val="0"/>
        <w:adjustRightInd w:val="0"/>
        <w:snapToGrid w:val="0"/>
        <w:spacing w:before="0" w:after="0" w:line="600" w:lineRule="exact"/>
        <w:ind w:firstLine="720"/>
        <w:jc w:val="both"/>
        <w:rPr>
          <w:rFonts w:ascii="Times New Roman" w:hAnsi="Times New Roman" w:eastAsia="方正黑体_GBK" w:cs="方正黑体_GBK"/>
          <w:b w:val="0"/>
          <w:color w:val="000000" w:themeColor="text1"/>
          <w:kern w:val="21"/>
          <w:szCs w:val="36"/>
        </w:rPr>
      </w:pPr>
      <w:bookmarkStart w:id="39" w:name="_Toc93409986"/>
      <w:r>
        <w:rPr>
          <w:rFonts w:hint="eastAsia" w:ascii="Times New Roman" w:hAnsi="Times New Roman" w:eastAsia="方正黑体_GBK" w:cs="方正黑体_GBK"/>
          <w:b w:val="0"/>
          <w:color w:val="000000" w:themeColor="text1"/>
          <w:kern w:val="21"/>
          <w:szCs w:val="36"/>
        </w:rPr>
        <w:t>四、重点任务</w:t>
      </w:r>
      <w:bookmarkEnd w:id="39"/>
    </w:p>
    <w:p>
      <w:pPr>
        <w:pStyle w:val="5"/>
        <w:keepNext w:val="0"/>
        <w:keepLines w:val="0"/>
        <w:adjustRightInd w:val="0"/>
        <w:snapToGrid w:val="0"/>
        <w:spacing w:before="0" w:after="0" w:line="600" w:lineRule="exact"/>
        <w:ind w:firstLine="643"/>
        <w:jc w:val="both"/>
        <w:rPr>
          <w:rFonts w:ascii="楷体_GB2312" w:hAnsi="楷体_GB2312" w:cs="方正楷体_GBK"/>
          <w:bCs w:val="0"/>
          <w:color w:val="000000" w:themeColor="text1"/>
          <w:kern w:val="21"/>
        </w:rPr>
      </w:pPr>
      <w:bookmarkStart w:id="40" w:name="_Toc93409987"/>
      <w:r>
        <w:rPr>
          <w:rFonts w:hint="eastAsia" w:ascii="楷体_GB2312" w:hAnsi="楷体_GB2312" w:cs="方正楷体_GBK"/>
          <w:bCs w:val="0"/>
          <w:color w:val="000000" w:themeColor="text1"/>
          <w:kern w:val="21"/>
        </w:rPr>
        <w:t>（一）奋力强基础添动力，夯实数字基础支撑</w:t>
      </w:r>
      <w:bookmarkEnd w:id="40"/>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以数字基础设施建设为抓手，以数据资源体系为核心，按照“统一规划设计、统一网络出口、统一中心机房、统一数据备份、统一安全管理、统一应用底座”的思路，建立统一的基础应用底座，提供统一的数据支撑、应用支撑</w:t>
      </w:r>
      <w:r>
        <w:rPr>
          <w:rFonts w:eastAsia="仿宋_GB2312"/>
          <w:color w:val="000000" w:themeColor="text1"/>
          <w:sz w:val="32"/>
          <w:szCs w:val="32"/>
        </w:rPr>
        <w:t>、AI能</w:t>
      </w:r>
      <w:r>
        <w:rPr>
          <w:rFonts w:hint="eastAsia" w:ascii="仿宋_GB2312" w:eastAsia="仿宋_GB2312"/>
          <w:color w:val="000000" w:themeColor="text1"/>
          <w:sz w:val="32"/>
          <w:szCs w:val="32"/>
        </w:rPr>
        <w:t>力支撑、数字孪生支撑、物联网支撑、区块链支撑，奠定“数字玉林”发展基础。</w:t>
      </w:r>
    </w:p>
    <w:p>
      <w:pPr>
        <w:pStyle w:val="6"/>
        <w:spacing w:before="0" w:after="0" w:line="600" w:lineRule="exact"/>
        <w:ind w:firstLine="643" w:firstLineChars="200"/>
        <w:rPr>
          <w:rFonts w:eastAsia="楷体_GB2312"/>
          <w:color w:val="000000" w:themeColor="text1"/>
        </w:rPr>
      </w:pPr>
      <w:bookmarkStart w:id="41" w:name="_Toc93409988"/>
      <w:r>
        <w:rPr>
          <w:rFonts w:hint="eastAsia" w:eastAsia="楷体_GB2312"/>
          <w:color w:val="000000" w:themeColor="text1"/>
        </w:rPr>
        <w:t>1</w:t>
      </w:r>
      <w:r>
        <w:rPr>
          <w:rFonts w:eastAsia="楷体_GB2312"/>
          <w:color w:val="000000" w:themeColor="text1"/>
        </w:rPr>
        <w:t>.</w:t>
      </w:r>
      <w:r>
        <w:rPr>
          <w:rFonts w:hint="eastAsia" w:eastAsia="楷体_GB2312"/>
          <w:color w:val="000000" w:themeColor="text1"/>
        </w:rPr>
        <w:t>加快数字基础设施建设</w:t>
      </w:r>
      <w:bookmarkEnd w:id="41"/>
    </w:p>
    <w:p>
      <w:pPr>
        <w:spacing w:line="600" w:lineRule="exact"/>
        <w:ind w:firstLine="643" w:firstLineChars="200"/>
        <w:rPr>
          <w:rFonts w:ascii="仿宋_GB2312" w:eastAsia="仿宋_GB2312"/>
          <w:snapToGrid w:val="0"/>
          <w:color w:val="000000" w:themeColor="text1"/>
          <w:kern w:val="21"/>
          <w:sz w:val="32"/>
          <w:szCs w:val="32"/>
        </w:rPr>
      </w:pPr>
      <w:r>
        <w:rPr>
          <w:rFonts w:hint="eastAsia" w:ascii="楷体_GB2312" w:hAnsi="楷体_GB2312" w:eastAsia="楷体_GB2312"/>
          <w:b/>
          <w:snapToGrid w:val="0"/>
          <w:color w:val="000000" w:themeColor="text1"/>
          <w:kern w:val="21"/>
          <w:sz w:val="32"/>
          <w:szCs w:val="32"/>
        </w:rPr>
        <w:t>加快建设高速泛在的网络基础设施。</w:t>
      </w:r>
      <w:r>
        <w:rPr>
          <w:rFonts w:hint="eastAsia" w:ascii="仿宋_GB2312" w:eastAsia="仿宋_GB2312"/>
          <w:bCs/>
          <w:snapToGrid w:val="0"/>
          <w:color w:val="000000" w:themeColor="text1"/>
          <w:kern w:val="21"/>
          <w:sz w:val="32"/>
          <w:szCs w:val="32"/>
        </w:rPr>
        <w:t>扩大高速光纤网络覆盖范围</w:t>
      </w:r>
      <w:r>
        <w:rPr>
          <w:rFonts w:hint="eastAsia" w:ascii="仿宋_GB2312" w:eastAsia="仿宋_GB2312"/>
          <w:snapToGrid w:val="0"/>
          <w:color w:val="000000" w:themeColor="text1"/>
          <w:kern w:val="21"/>
          <w:sz w:val="32"/>
          <w:szCs w:val="32"/>
        </w:rPr>
        <w:t>，加快实施城乡光纤网络和“广电云”基础网络全覆盖。推动骨干网络扩容升级，积极打造</w:t>
      </w:r>
      <w:bookmarkStart w:id="42" w:name="OLE_LINK4"/>
      <w:bookmarkStart w:id="43" w:name="OLE_LINK3"/>
      <w:r>
        <w:rPr>
          <w:rFonts w:hint="eastAsia" w:ascii="仿宋_GB2312" w:eastAsia="仿宋_GB2312"/>
          <w:snapToGrid w:val="0"/>
          <w:color w:val="000000" w:themeColor="text1"/>
          <w:kern w:val="21"/>
          <w:sz w:val="32"/>
          <w:szCs w:val="32"/>
        </w:rPr>
        <w:t>一流千兆城市，鼓励和支持“双千兆”</w:t>
      </w:r>
      <w:bookmarkEnd w:id="42"/>
      <w:bookmarkEnd w:id="43"/>
      <w:r>
        <w:rPr>
          <w:rFonts w:hint="eastAsia" w:ascii="仿宋_GB2312" w:eastAsia="仿宋_GB2312"/>
          <w:snapToGrid w:val="0"/>
          <w:color w:val="000000" w:themeColor="text1"/>
          <w:kern w:val="21"/>
          <w:sz w:val="32"/>
          <w:szCs w:val="32"/>
        </w:rPr>
        <w:t>示范小区、“双千兆”示范园区建设。</w:t>
      </w:r>
      <w:r>
        <w:rPr>
          <w:rFonts w:hint="eastAsia" w:ascii="仿宋_GB2312" w:eastAsia="仿宋_GB2312"/>
          <w:bCs/>
          <w:snapToGrid w:val="0"/>
          <w:color w:val="000000" w:themeColor="text1"/>
          <w:kern w:val="21"/>
          <w:sz w:val="32"/>
          <w:szCs w:val="32"/>
        </w:rPr>
        <w:t>大力</w:t>
      </w:r>
      <w:r>
        <w:rPr>
          <w:rFonts w:eastAsia="仿宋_GB2312"/>
          <w:bCs/>
          <w:snapToGrid w:val="0"/>
          <w:color w:val="000000" w:themeColor="text1"/>
          <w:kern w:val="21"/>
          <w:sz w:val="32"/>
          <w:szCs w:val="32"/>
        </w:rPr>
        <w:t>推进5G网</w:t>
      </w:r>
      <w:r>
        <w:rPr>
          <w:rFonts w:hint="eastAsia" w:ascii="仿宋_GB2312" w:eastAsia="仿宋_GB2312"/>
          <w:bCs/>
          <w:snapToGrid w:val="0"/>
          <w:color w:val="000000" w:themeColor="text1"/>
          <w:kern w:val="21"/>
          <w:sz w:val="32"/>
          <w:szCs w:val="32"/>
        </w:rPr>
        <w:t>络建设</w:t>
      </w:r>
      <w:r>
        <w:rPr>
          <w:rFonts w:hint="eastAsia" w:ascii="仿宋_GB2312" w:eastAsia="仿宋_GB2312"/>
          <w:snapToGrid w:val="0"/>
          <w:color w:val="000000" w:themeColor="text1"/>
          <w:kern w:val="21"/>
          <w:sz w:val="32"/>
          <w:szCs w:val="32"/>
        </w:rPr>
        <w:t>和规模化商用，提升城区和热点</w:t>
      </w:r>
      <w:r>
        <w:rPr>
          <w:rFonts w:eastAsia="仿宋_GB2312"/>
          <w:snapToGrid w:val="0"/>
          <w:color w:val="000000" w:themeColor="text1"/>
          <w:kern w:val="21"/>
          <w:sz w:val="32"/>
          <w:szCs w:val="32"/>
        </w:rPr>
        <w:t>区域5G</w:t>
      </w:r>
      <w:r>
        <w:rPr>
          <w:rFonts w:hint="eastAsia" w:ascii="仿宋_GB2312" w:eastAsia="仿宋_GB2312"/>
          <w:snapToGrid w:val="0"/>
          <w:color w:val="000000" w:themeColor="text1"/>
          <w:kern w:val="21"/>
          <w:sz w:val="32"/>
          <w:szCs w:val="32"/>
        </w:rPr>
        <w:t>网络覆盖水平，优先实现主城区、工业园区、重要景区、重要交通路网等热点区域全覆盖，推动乡村重点区域、典型应用场景精准覆盖，逐步实现全市全覆盖。推进基</w:t>
      </w:r>
      <w:r>
        <w:rPr>
          <w:rFonts w:eastAsia="仿宋_GB2312"/>
          <w:snapToGrid w:val="0"/>
          <w:color w:val="000000" w:themeColor="text1"/>
          <w:kern w:val="21"/>
          <w:sz w:val="32"/>
          <w:szCs w:val="32"/>
        </w:rPr>
        <w:t>于IPv6</w:t>
      </w:r>
      <w:r>
        <w:rPr>
          <w:rFonts w:hint="eastAsia" w:ascii="仿宋_GB2312" w:eastAsia="仿宋_GB2312"/>
          <w:snapToGrid w:val="0"/>
          <w:color w:val="000000" w:themeColor="text1"/>
          <w:kern w:val="21"/>
          <w:sz w:val="32"/>
          <w:szCs w:val="32"/>
        </w:rPr>
        <w:t>的下一代互联网规模部署，实现各级政府门户网站、重点商业网站、媒体</w:t>
      </w:r>
      <w:r>
        <w:rPr>
          <w:rFonts w:eastAsia="仿宋_GB2312"/>
          <w:snapToGrid w:val="0"/>
          <w:color w:val="000000" w:themeColor="text1"/>
          <w:kern w:val="21"/>
          <w:sz w:val="32"/>
          <w:szCs w:val="32"/>
        </w:rPr>
        <w:t>网站等IPv6升级改造，支持重点行业、龙头企业开展工业互联网IPv6网络化</w:t>
      </w:r>
      <w:r>
        <w:rPr>
          <w:rFonts w:hint="eastAsia" w:ascii="仿宋_GB2312" w:eastAsia="仿宋_GB2312"/>
          <w:snapToGrid w:val="0"/>
          <w:color w:val="000000" w:themeColor="text1"/>
          <w:kern w:val="21"/>
          <w:sz w:val="32"/>
          <w:szCs w:val="32"/>
        </w:rPr>
        <w:t>改造，高标准提升互联网能级。</w:t>
      </w:r>
    </w:p>
    <w:p>
      <w:pPr>
        <w:spacing w:line="600" w:lineRule="exact"/>
        <w:ind w:firstLine="643" w:firstLineChars="200"/>
        <w:rPr>
          <w:rFonts w:ascii="仿宋_GB2312" w:eastAsia="仿宋_GB2312"/>
          <w:snapToGrid w:val="0"/>
          <w:color w:val="000000" w:themeColor="text1"/>
          <w:kern w:val="21"/>
          <w:sz w:val="32"/>
          <w:szCs w:val="32"/>
        </w:rPr>
      </w:pPr>
      <w:r>
        <w:rPr>
          <w:rFonts w:hint="eastAsia" w:ascii="楷体_GB2312" w:hAnsi="楷体_GB2312" w:eastAsia="楷体_GB2312"/>
          <w:b/>
          <w:snapToGrid w:val="0"/>
          <w:color w:val="000000" w:themeColor="text1"/>
          <w:kern w:val="21"/>
          <w:sz w:val="32"/>
          <w:szCs w:val="32"/>
        </w:rPr>
        <w:t>部署新型智能化计算设施。</w:t>
      </w:r>
      <w:r>
        <w:rPr>
          <w:rFonts w:hint="eastAsia" w:ascii="仿宋_GB2312" w:eastAsia="仿宋_GB2312"/>
          <w:snapToGrid w:val="0"/>
          <w:color w:val="000000" w:themeColor="text1"/>
          <w:kern w:val="21"/>
          <w:sz w:val="32"/>
          <w:szCs w:val="32"/>
        </w:rPr>
        <w:t>重点推进玉林大数据生态产业园、玉林孪生计算与大数据云服务中心、玉林市公共安全大数据中心建设，构建“</w:t>
      </w:r>
      <w:r>
        <w:rPr>
          <w:rFonts w:eastAsia="仿宋_GB2312"/>
          <w:snapToGrid w:val="0"/>
          <w:color w:val="000000" w:themeColor="text1"/>
          <w:kern w:val="21"/>
          <w:sz w:val="32"/>
          <w:szCs w:val="32"/>
        </w:rPr>
        <w:t>1+N</w:t>
      </w:r>
      <w:r>
        <w:rPr>
          <w:rFonts w:hint="eastAsia" w:ascii="仿宋_GB2312" w:eastAsia="仿宋_GB2312"/>
          <w:snapToGrid w:val="0"/>
          <w:color w:val="000000" w:themeColor="text1"/>
          <w:kern w:val="21"/>
          <w:sz w:val="32"/>
          <w:szCs w:val="32"/>
        </w:rPr>
        <w:t>”政务云计算大数据中心体系。充分发挥政务大数据外溢效应，着力深化数据中心“云+边+端”一体化协同发展，搭建新一代高性能人工智能开源框架、公共计算、数据开放等平台，满足各领域敏捷计算需求，努力成为自治区智能算法库、智能模型库的核心组成。加快区块链通用技术平台和服务平台等建设，推动区块链在金融、商贸、物流、制造等领域示范应用，构建应用场景，形成区块链应用技术体系和产业生态。</w:t>
      </w:r>
    </w:p>
    <w:p>
      <w:pPr>
        <w:spacing w:line="600" w:lineRule="exact"/>
        <w:ind w:firstLine="643" w:firstLineChars="200"/>
        <w:rPr>
          <w:rFonts w:ascii="仿宋_GB2312" w:eastAsia="仿宋_GB2312"/>
          <w:snapToGrid w:val="0"/>
          <w:color w:val="000000" w:themeColor="text1"/>
          <w:kern w:val="21"/>
          <w:sz w:val="32"/>
          <w:szCs w:val="32"/>
        </w:rPr>
      </w:pPr>
      <w:r>
        <w:rPr>
          <w:rFonts w:hint="eastAsia" w:ascii="楷体_GB2312" w:hAnsi="楷体_GB2312" w:eastAsia="楷体_GB2312"/>
          <w:b/>
          <w:snapToGrid w:val="0"/>
          <w:color w:val="000000" w:themeColor="text1"/>
          <w:kern w:val="21"/>
          <w:sz w:val="32"/>
          <w:szCs w:val="32"/>
        </w:rPr>
        <w:t>推动建设全域感知的物联基础设施。</w:t>
      </w:r>
      <w:r>
        <w:rPr>
          <w:rFonts w:hint="eastAsia" w:ascii="仿宋_GB2312" w:eastAsia="仿宋_GB2312"/>
          <w:snapToGrid w:val="0"/>
          <w:color w:val="000000" w:themeColor="text1"/>
          <w:kern w:val="21"/>
          <w:sz w:val="32"/>
          <w:szCs w:val="32"/>
        </w:rPr>
        <w:t>加强</w:t>
      </w:r>
      <w:r>
        <w:rPr>
          <w:rFonts w:eastAsia="仿宋_GB2312"/>
          <w:snapToGrid w:val="0"/>
          <w:color w:val="000000" w:themeColor="text1"/>
          <w:kern w:val="21"/>
          <w:sz w:val="32"/>
          <w:szCs w:val="32"/>
        </w:rPr>
        <w:t>NB-IoT等</w:t>
      </w:r>
      <w:r>
        <w:rPr>
          <w:rFonts w:hint="eastAsia" w:ascii="仿宋_GB2312" w:eastAsia="仿宋_GB2312"/>
          <w:snapToGrid w:val="0"/>
          <w:color w:val="000000" w:themeColor="text1"/>
          <w:kern w:val="21"/>
          <w:sz w:val="32"/>
          <w:szCs w:val="32"/>
        </w:rPr>
        <w:t>新型物联网在数字城市基础设施、社区基础设施、乡村基础设施的部署，实</w:t>
      </w:r>
      <w:r>
        <w:rPr>
          <w:rFonts w:eastAsia="仿宋_GB2312"/>
          <w:snapToGrid w:val="0"/>
          <w:color w:val="000000" w:themeColor="text1"/>
          <w:kern w:val="21"/>
          <w:sz w:val="32"/>
          <w:szCs w:val="32"/>
        </w:rPr>
        <w:t>现NB-IoT基</w:t>
      </w:r>
      <w:r>
        <w:rPr>
          <w:rFonts w:hint="eastAsia" w:ascii="仿宋_GB2312" w:eastAsia="仿宋_GB2312"/>
          <w:snapToGrid w:val="0"/>
          <w:color w:val="000000" w:themeColor="text1"/>
          <w:kern w:val="21"/>
          <w:sz w:val="32"/>
          <w:szCs w:val="32"/>
        </w:rPr>
        <w:t>站县级及以上城区普遍覆盖，室内、交通路网、地下管网、现代农业示范区等应用场景深度覆盖。加快智能家居、智慧农业、工业制造、能源表计、消防烟感、物流跟踪、金融支付等重点领域移动物联网发展，推动实现产业数字化、治理智能化、生活智慧化。加快交通、能源、水利、市政、环保等传统基础设施智慧化改造和教育、医疗、文化、社保等公共服务设施数字化转型。</w:t>
      </w:r>
      <w:r>
        <w:rPr>
          <w:rFonts w:eastAsia="仿宋_GB2312"/>
          <w:snapToGrid w:val="0"/>
          <w:color w:val="000000" w:themeColor="text1"/>
          <w:kern w:val="21"/>
          <w:sz w:val="32"/>
          <w:szCs w:val="32"/>
        </w:rPr>
        <w:t>推动以NB-IoT为核心的新型传感网络在市政设施管理、环境</w:t>
      </w:r>
      <w:r>
        <w:rPr>
          <w:rFonts w:hint="eastAsia" w:ascii="仿宋_GB2312" w:eastAsia="仿宋_GB2312"/>
          <w:snapToGrid w:val="0"/>
          <w:color w:val="000000" w:themeColor="text1"/>
          <w:kern w:val="21"/>
          <w:sz w:val="32"/>
          <w:szCs w:val="32"/>
        </w:rPr>
        <w:t>监测、安全监管等领域规模化应用。推动神经元感知节点在安防、交通、医疗、文旅等场景的应用，推进工业、交通、环保、建设、应急、林业、物流等领域物联感知设施的规模部署。</w:t>
      </w:r>
    </w:p>
    <w:p>
      <w:pPr>
        <w:spacing w:line="600" w:lineRule="exact"/>
        <w:ind w:firstLine="643" w:firstLineChars="200"/>
        <w:rPr>
          <w:snapToGrid w:val="0"/>
          <w:color w:val="000000" w:themeColor="text1"/>
        </w:rPr>
      </w:pPr>
      <w:r>
        <w:rPr>
          <w:rFonts w:hint="eastAsia" w:ascii="楷体_GB2312" w:hAnsi="楷体_GB2312" w:eastAsia="楷体_GB2312"/>
          <w:b/>
          <w:snapToGrid w:val="0"/>
          <w:color w:val="000000" w:themeColor="text1"/>
          <w:kern w:val="21"/>
          <w:sz w:val="32"/>
          <w:szCs w:val="32"/>
        </w:rPr>
        <w:t>深化大数据智能化融合应用。</w:t>
      </w:r>
      <w:r>
        <w:rPr>
          <w:rFonts w:hint="eastAsia" w:ascii="仿宋_GB2312" w:eastAsia="仿宋_GB2312"/>
          <w:snapToGrid w:val="0"/>
          <w:color w:val="000000" w:themeColor="text1"/>
          <w:kern w:val="21"/>
          <w:sz w:val="32"/>
          <w:szCs w:val="32"/>
        </w:rPr>
        <w:t>推动工业、医疗、教育、物流、金融、媒体等领域行业云平台建设。依托玉林孪生计算与大数据云服务中心，支持中药材交易市场、香料交易市场、会展旅游、物流等重点领域云服务平台建设，支持行业协会、龙头企业牵头共建行业云，鼓励各行业上云用云。推进政务云平台整合，加快建设互通协同的“壮美广西·玉林政务云（鲲鹏云）”，打通政务数据资源“聚通用”，打造集约化、一体化的政务云平台。分类梳理各部门业务专网，分阶段推进部门非涉密业务专网向电子政务外网迁移整合或融合互联，逐步推动已建非涉密系统迁移上云，新建业务系统依托政务云平台进行集约化建设部署。</w:t>
      </w:r>
    </w:p>
    <w:tbl>
      <w:tblPr>
        <w:tblStyle w:val="21"/>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tcBorders>
              <w:top w:val="single" w:color="auto" w:sz="4" w:space="0"/>
              <w:left w:val="single" w:color="auto" w:sz="4" w:space="0"/>
              <w:bottom w:val="single" w:color="auto" w:sz="4" w:space="0"/>
              <w:right w:val="single" w:color="auto" w:sz="4" w:space="0"/>
            </w:tcBorders>
          </w:tcPr>
          <w:p>
            <w:pPr>
              <w:pStyle w:val="33"/>
              <w:spacing w:before="0" w:after="0" w:line="600" w:lineRule="exact"/>
              <w:jc w:val="center"/>
              <w:rPr>
                <w:rFonts w:ascii="黑体" w:hAnsi="黑体" w:eastAsia="黑体"/>
                <w:color w:val="000000" w:themeColor="text1"/>
                <w:sz w:val="30"/>
                <w:szCs w:val="30"/>
              </w:rPr>
            </w:pPr>
            <w:r>
              <w:rPr>
                <w:rFonts w:ascii="黑体" w:hAnsi="黑体" w:eastAsia="黑体"/>
                <w:color w:val="000000" w:themeColor="text1"/>
                <w:kern w:val="21"/>
                <w:sz w:val="30"/>
                <w:szCs w:val="30"/>
              </w:rPr>
              <w:t>专栏</w:t>
            </w:r>
            <w:r>
              <w:rPr>
                <w:rFonts w:hint="eastAsia" w:ascii="黑体" w:hAnsi="黑体" w:eastAsia="黑体"/>
                <w:color w:val="000000" w:themeColor="text1"/>
                <w:kern w:val="21"/>
                <w:sz w:val="30"/>
                <w:szCs w:val="30"/>
              </w:rPr>
              <w:t>1 数字基础</w:t>
            </w:r>
            <w:r>
              <w:rPr>
                <w:rFonts w:ascii="黑体" w:hAnsi="黑体" w:eastAsia="黑体"/>
                <w:color w:val="000000" w:themeColor="text1"/>
                <w:kern w:val="21"/>
                <w:sz w:val="30"/>
                <w:szCs w:val="30"/>
              </w:rPr>
              <w:t>设施</w:t>
            </w:r>
            <w:r>
              <w:rPr>
                <w:rFonts w:hint="eastAsia" w:ascii="黑体" w:hAnsi="黑体" w:eastAsia="黑体"/>
                <w:color w:val="000000" w:themeColor="text1"/>
                <w:kern w:val="21"/>
                <w:sz w:val="30"/>
                <w:szCs w:val="30"/>
              </w:rPr>
              <w:t>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tcBorders>
              <w:top w:val="single" w:color="auto" w:sz="4" w:space="0"/>
              <w:left w:val="single" w:color="auto" w:sz="4" w:space="0"/>
              <w:bottom w:val="single" w:color="auto" w:sz="4" w:space="0"/>
              <w:right w:val="single" w:color="auto" w:sz="4" w:space="0"/>
            </w:tcBorders>
          </w:tcPr>
          <w:p>
            <w:pPr>
              <w:adjustRightInd w:val="0"/>
              <w:snapToGrid w:val="0"/>
              <w:spacing w:line="520" w:lineRule="exact"/>
              <w:ind w:firstLine="602" w:firstLineChars="200"/>
              <w:rPr>
                <w:rFonts w:ascii="楷体_GB2312" w:hAnsi="楷体_GB2312" w:eastAsia="楷体_GB2312"/>
                <w:bCs/>
                <w:color w:val="000000" w:themeColor="text1"/>
                <w:kern w:val="21"/>
                <w:sz w:val="30"/>
                <w:szCs w:val="30"/>
              </w:rPr>
            </w:pPr>
            <w:r>
              <w:rPr>
                <w:rFonts w:ascii="楷体_GB2312" w:hAnsi="楷体_GB2312" w:eastAsia="楷体_GB2312"/>
                <w:b/>
                <w:color w:val="000000" w:themeColor="text1"/>
                <w:kern w:val="21"/>
                <w:sz w:val="30"/>
                <w:szCs w:val="30"/>
              </w:rPr>
              <w:t>乡村网络基础设施建设工程：</w:t>
            </w:r>
            <w:r>
              <w:rPr>
                <w:rFonts w:ascii="楷体_GB2312" w:hAnsi="楷体_GB2312" w:eastAsia="楷体_GB2312"/>
                <w:bCs/>
                <w:color w:val="000000" w:themeColor="text1"/>
                <w:kern w:val="21"/>
                <w:sz w:val="30"/>
                <w:szCs w:val="30"/>
              </w:rPr>
              <w:t>加大政策扶持和资源倾斜力度，引导电信运营企业大力投资建设农村网络，扩大光纤宽带接入网在农村的有效覆盖，推动农村通信网络提速降费，持续实施宽带电信普遍服务补偿试点工作，支持农村地区宽带网络发展。</w:t>
            </w:r>
            <w:r>
              <w:rPr>
                <w:rFonts w:eastAsia="楷体_GB2312"/>
                <w:bCs/>
                <w:color w:val="000000" w:themeColor="text1"/>
                <w:kern w:val="21"/>
                <w:sz w:val="30"/>
                <w:szCs w:val="30"/>
              </w:rPr>
              <w:t>到2025</w:t>
            </w:r>
            <w:r>
              <w:rPr>
                <w:rFonts w:ascii="楷体_GB2312" w:hAnsi="楷体_GB2312" w:eastAsia="楷体_GB2312"/>
                <w:bCs/>
                <w:color w:val="000000" w:themeColor="text1"/>
                <w:kern w:val="21"/>
                <w:sz w:val="30"/>
                <w:szCs w:val="30"/>
              </w:rPr>
              <w:t>年，</w:t>
            </w:r>
            <w:r>
              <w:rPr>
                <w:rFonts w:eastAsia="楷体_GB2312"/>
                <w:bCs/>
                <w:color w:val="000000" w:themeColor="text1"/>
                <w:kern w:val="21"/>
                <w:sz w:val="30"/>
                <w:szCs w:val="30"/>
              </w:rPr>
              <w:t>60%以</w:t>
            </w:r>
            <w:r>
              <w:rPr>
                <w:rFonts w:ascii="楷体_GB2312" w:hAnsi="楷体_GB2312" w:eastAsia="楷体_GB2312"/>
                <w:bCs/>
                <w:color w:val="000000" w:themeColor="text1"/>
                <w:kern w:val="21"/>
                <w:sz w:val="30"/>
                <w:szCs w:val="30"/>
              </w:rPr>
              <w:t>上农村地区实现千兆网络普遍覆盖。</w:t>
            </w:r>
          </w:p>
          <w:p>
            <w:pPr>
              <w:widowControl/>
              <w:spacing w:line="520" w:lineRule="exact"/>
              <w:ind w:firstLine="602" w:firstLineChars="200"/>
              <w:rPr>
                <w:rFonts w:eastAsia="楷体_GB2312"/>
                <w:b/>
                <w:color w:val="000000" w:themeColor="text1"/>
                <w:sz w:val="30"/>
                <w:szCs w:val="30"/>
              </w:rPr>
            </w:pPr>
            <w:r>
              <w:rPr>
                <w:rFonts w:eastAsia="楷体_GB2312"/>
                <w:b/>
                <w:color w:val="000000" w:themeColor="text1"/>
                <w:sz w:val="30"/>
                <w:szCs w:val="30"/>
              </w:rPr>
              <w:t>5G、光纤网络：</w:t>
            </w:r>
            <w:r>
              <w:rPr>
                <w:rFonts w:eastAsia="楷体_GB2312"/>
                <w:color w:val="000000" w:themeColor="text1"/>
                <w:sz w:val="30"/>
                <w:szCs w:val="30"/>
              </w:rPr>
              <w:t>重点建设中国电信玉林分公司、中国移动玉林分公司、中国联通玉林分公司</w:t>
            </w:r>
            <w:r>
              <w:rPr>
                <w:rFonts w:hint="eastAsia" w:eastAsia="楷体_GB2312"/>
                <w:color w:val="000000" w:themeColor="text1"/>
                <w:sz w:val="30"/>
                <w:szCs w:val="30"/>
              </w:rPr>
              <w:t>、</w:t>
            </w:r>
            <w:r>
              <w:rPr>
                <w:rFonts w:eastAsia="楷体_GB2312"/>
                <w:color w:val="000000" w:themeColor="text1"/>
                <w:sz w:val="30"/>
                <w:szCs w:val="30"/>
              </w:rPr>
              <w:t>中国</w:t>
            </w:r>
            <w:r>
              <w:rPr>
                <w:rFonts w:hint="eastAsia" w:eastAsia="楷体_GB2312"/>
                <w:color w:val="000000" w:themeColor="text1"/>
                <w:sz w:val="30"/>
                <w:szCs w:val="30"/>
              </w:rPr>
              <w:t>铁塔</w:t>
            </w:r>
            <w:r>
              <w:rPr>
                <w:rFonts w:eastAsia="楷体_GB2312"/>
                <w:color w:val="000000" w:themeColor="text1"/>
                <w:sz w:val="30"/>
                <w:szCs w:val="30"/>
              </w:rPr>
              <w:t>玉林分公司的5G网络项目、光纤网络项目。</w:t>
            </w:r>
          </w:p>
          <w:p>
            <w:pPr>
              <w:adjustRightInd w:val="0"/>
              <w:snapToGrid w:val="0"/>
              <w:spacing w:line="520" w:lineRule="exact"/>
              <w:ind w:firstLine="602" w:firstLineChars="200"/>
              <w:rPr>
                <w:rFonts w:eastAsia="方正仿宋_GBK"/>
                <w:bCs/>
                <w:color w:val="000000" w:themeColor="text1"/>
                <w:kern w:val="21"/>
                <w:sz w:val="28"/>
                <w:szCs w:val="28"/>
              </w:rPr>
            </w:pPr>
            <w:r>
              <w:rPr>
                <w:rFonts w:eastAsia="楷体_GB2312"/>
                <w:b/>
                <w:color w:val="000000" w:themeColor="text1"/>
                <w:kern w:val="21"/>
                <w:sz w:val="30"/>
                <w:szCs w:val="30"/>
              </w:rPr>
              <w:t>5G</w:t>
            </w:r>
            <w:r>
              <w:rPr>
                <w:rFonts w:ascii="楷体_GB2312" w:hAnsi="楷体_GB2312" w:eastAsia="楷体_GB2312"/>
                <w:b/>
                <w:color w:val="000000" w:themeColor="text1"/>
                <w:kern w:val="21"/>
                <w:sz w:val="30"/>
                <w:szCs w:val="30"/>
              </w:rPr>
              <w:t>网络规模化商用工程：</w:t>
            </w:r>
            <w:r>
              <w:rPr>
                <w:rFonts w:ascii="楷体_GB2312" w:hAnsi="楷体_GB2312" w:eastAsia="楷体_GB2312"/>
                <w:bCs/>
                <w:color w:val="000000" w:themeColor="text1"/>
                <w:kern w:val="21"/>
                <w:sz w:val="30"/>
                <w:szCs w:val="30"/>
              </w:rPr>
              <w:t>大力推进</w:t>
            </w:r>
            <w:r>
              <w:rPr>
                <w:rFonts w:eastAsia="楷体_GB2312"/>
                <w:bCs/>
                <w:color w:val="000000" w:themeColor="text1"/>
                <w:kern w:val="21"/>
                <w:sz w:val="30"/>
                <w:szCs w:val="30"/>
              </w:rPr>
              <w:t>5G网</w:t>
            </w:r>
            <w:r>
              <w:rPr>
                <w:rFonts w:ascii="楷体_GB2312" w:hAnsi="楷体_GB2312" w:eastAsia="楷体_GB2312"/>
                <w:bCs/>
                <w:color w:val="000000" w:themeColor="text1"/>
                <w:kern w:val="21"/>
                <w:sz w:val="30"/>
                <w:szCs w:val="30"/>
              </w:rPr>
              <w:t>络建设，推动重点区域实现</w:t>
            </w:r>
            <w:r>
              <w:rPr>
                <w:rFonts w:eastAsia="楷体_GB2312"/>
                <w:bCs/>
                <w:color w:val="000000" w:themeColor="text1"/>
                <w:kern w:val="21"/>
                <w:sz w:val="30"/>
                <w:szCs w:val="30"/>
              </w:rPr>
              <w:t>5G网</w:t>
            </w:r>
            <w:r>
              <w:rPr>
                <w:rFonts w:ascii="楷体_GB2312" w:hAnsi="楷体_GB2312" w:eastAsia="楷体_GB2312"/>
                <w:bCs/>
                <w:color w:val="000000" w:themeColor="text1"/>
                <w:kern w:val="21"/>
                <w:sz w:val="30"/>
                <w:szCs w:val="30"/>
              </w:rPr>
              <w:t>络全覆盖。</w:t>
            </w:r>
            <w:r>
              <w:rPr>
                <w:rFonts w:eastAsia="楷体_GB2312"/>
                <w:bCs/>
                <w:color w:val="000000" w:themeColor="text1"/>
                <w:kern w:val="21"/>
                <w:sz w:val="30"/>
                <w:szCs w:val="30"/>
              </w:rPr>
              <w:t>2022年实现全市域5G网络全覆盖，推动5G+VR/AR虚拟购物、5G+直播、5G+工业、5G+文旅、5G+医疗等系列应用场景基础设施建设。</w:t>
            </w:r>
          </w:p>
        </w:tc>
      </w:tr>
    </w:tbl>
    <w:p>
      <w:pPr>
        <w:pStyle w:val="6"/>
        <w:spacing w:before="0" w:after="0" w:line="600" w:lineRule="exact"/>
        <w:ind w:firstLine="643" w:firstLineChars="200"/>
        <w:rPr>
          <w:rFonts w:eastAsia="楷体_GB2312"/>
          <w:color w:val="000000" w:themeColor="text1"/>
        </w:rPr>
      </w:pPr>
      <w:bookmarkStart w:id="44" w:name="_Toc93409989"/>
      <w:r>
        <w:rPr>
          <w:rFonts w:hint="eastAsia" w:eastAsia="楷体_GB2312"/>
          <w:color w:val="000000" w:themeColor="text1"/>
        </w:rPr>
        <w:t>2</w:t>
      </w:r>
      <w:r>
        <w:rPr>
          <w:rFonts w:eastAsia="楷体_GB2312"/>
          <w:color w:val="000000" w:themeColor="text1"/>
        </w:rPr>
        <w:t>.</w:t>
      </w:r>
      <w:r>
        <w:rPr>
          <w:rFonts w:hint="eastAsia" w:eastAsia="楷体_GB2312"/>
          <w:color w:val="000000" w:themeColor="text1"/>
        </w:rPr>
        <w:t>完善数据资源体系</w:t>
      </w:r>
      <w:bookmarkEnd w:id="44"/>
    </w:p>
    <w:p>
      <w:pPr>
        <w:spacing w:line="600" w:lineRule="exact"/>
        <w:ind w:firstLine="643" w:firstLineChars="200"/>
        <w:rPr>
          <w:rFonts w:ascii="仿宋_GB2312" w:eastAsia="仿宋_GB2312"/>
          <w:snapToGrid w:val="0"/>
          <w:color w:val="000000" w:themeColor="text1"/>
          <w:kern w:val="21"/>
          <w:sz w:val="32"/>
          <w:szCs w:val="32"/>
        </w:rPr>
      </w:pPr>
      <w:r>
        <w:rPr>
          <w:rFonts w:hint="eastAsia" w:ascii="楷体_GB2312" w:hAnsi="楷体_GB2312" w:eastAsia="楷体_GB2312"/>
          <w:b/>
          <w:color w:val="000000" w:themeColor="text1"/>
          <w:kern w:val="21"/>
          <w:sz w:val="32"/>
          <w:szCs w:val="32"/>
        </w:rPr>
        <w:t>挖掘数据要素资源潜力。</w:t>
      </w:r>
      <w:r>
        <w:rPr>
          <w:rFonts w:hint="eastAsia" w:ascii="仿宋_GB2312" w:eastAsia="仿宋_GB2312"/>
          <w:snapToGrid w:val="0"/>
          <w:color w:val="000000" w:themeColor="text1"/>
          <w:kern w:val="21"/>
          <w:sz w:val="32"/>
          <w:szCs w:val="32"/>
        </w:rPr>
        <w:t>加快数据资源采集汇聚，依托鲲鹏云，从政务数据归集入手，拓展数据资源采集渠道，逐步推进政务、行业、社会数据汇聚。支持市政部门和各行业</w:t>
      </w:r>
      <w:r>
        <w:rPr>
          <w:rFonts w:eastAsia="仿宋_GB2312"/>
          <w:snapToGrid w:val="0"/>
          <w:color w:val="000000" w:themeColor="text1"/>
          <w:kern w:val="21"/>
          <w:sz w:val="32"/>
          <w:szCs w:val="32"/>
        </w:rPr>
        <w:t>企业应用5G、NB-IoT、IPv6等物联网</w:t>
      </w:r>
      <w:r>
        <w:rPr>
          <w:rFonts w:hint="eastAsia" w:ascii="仿宋_GB2312" w:eastAsia="仿宋_GB2312"/>
          <w:snapToGrid w:val="0"/>
          <w:color w:val="000000" w:themeColor="text1"/>
          <w:kern w:val="21"/>
          <w:sz w:val="32"/>
          <w:szCs w:val="32"/>
        </w:rPr>
        <w:t>技术进行数据采集和汇聚。提高数据采集标准化水平，加强数据质量管理，保障数据资源的准确性、完整性和可用性。加强不同部门、不同行业的海量数据整合，丰富公共基础数据库和行业数据库，建立物理分散、逻辑集中、资源共享的数据资源体系。深化大数据在执法、社会治理、安全生产、应急救援、市场监管、城市建设、环境保护等领域应用。推进数据资源开放应用，健全公共数据开放应用和管理机制，加大公共数据开放力度，鼓励企事业单位、社会公共组织、行业组织共同推动公共数据开放。</w:t>
      </w:r>
    </w:p>
    <w:p>
      <w:pPr>
        <w:spacing w:line="600" w:lineRule="exact"/>
        <w:ind w:firstLine="643" w:firstLineChars="200"/>
        <w:rPr>
          <w:color w:val="000000" w:themeColor="text1"/>
        </w:rPr>
      </w:pPr>
      <w:r>
        <w:rPr>
          <w:rFonts w:hint="eastAsia" w:ascii="楷体_GB2312" w:hAnsi="楷体_GB2312" w:eastAsia="楷体_GB2312"/>
          <w:b/>
          <w:color w:val="000000" w:themeColor="text1"/>
          <w:kern w:val="21"/>
          <w:sz w:val="32"/>
          <w:szCs w:val="32"/>
        </w:rPr>
        <w:t>加强数据要素资源治理。</w:t>
      </w:r>
      <w:r>
        <w:rPr>
          <w:rFonts w:hint="eastAsia" w:ascii="仿宋_GB2312" w:eastAsia="仿宋_GB2312"/>
          <w:color w:val="000000" w:themeColor="text1"/>
          <w:kern w:val="21"/>
          <w:sz w:val="32"/>
          <w:szCs w:val="32"/>
        </w:rPr>
        <w:t>建立和完善数据治理机制，提升数据采集、整合、共享、开放、分析、安全等各环节管理水平和服务能力。建立</w:t>
      </w:r>
      <w:r>
        <w:rPr>
          <w:rFonts w:hint="eastAsia" w:ascii="仿宋_GB2312" w:eastAsia="仿宋_GB2312"/>
          <w:bCs/>
          <w:color w:val="000000" w:themeColor="text1"/>
          <w:kern w:val="21"/>
          <w:sz w:val="32"/>
          <w:szCs w:val="32"/>
        </w:rPr>
        <w:t>数据</w:t>
      </w:r>
      <w:r>
        <w:rPr>
          <w:rFonts w:hint="eastAsia" w:ascii="仿宋_GB2312" w:eastAsia="仿宋_GB2312"/>
          <w:color w:val="000000" w:themeColor="text1"/>
          <w:kern w:val="21"/>
          <w:sz w:val="32"/>
          <w:szCs w:val="32"/>
        </w:rPr>
        <w:t>长效动态更新机制，及时更新</w:t>
      </w:r>
      <w:r>
        <w:rPr>
          <w:rFonts w:hint="eastAsia" w:ascii="仿宋_GB2312" w:eastAsia="仿宋_GB2312"/>
          <w:bCs/>
          <w:color w:val="000000" w:themeColor="text1"/>
          <w:kern w:val="21"/>
          <w:sz w:val="32"/>
          <w:szCs w:val="32"/>
        </w:rPr>
        <w:t>和</w:t>
      </w:r>
      <w:r>
        <w:rPr>
          <w:rFonts w:hint="eastAsia" w:ascii="仿宋_GB2312" w:eastAsia="仿宋_GB2312"/>
          <w:color w:val="000000" w:themeColor="text1"/>
          <w:kern w:val="21"/>
          <w:sz w:val="32"/>
          <w:szCs w:val="32"/>
        </w:rPr>
        <w:t>动态维护数据资源，确保数据</w:t>
      </w:r>
      <w:r>
        <w:rPr>
          <w:rFonts w:hint="eastAsia" w:ascii="仿宋_GB2312" w:eastAsia="仿宋_GB2312"/>
          <w:bCs/>
          <w:color w:val="000000" w:themeColor="text1"/>
          <w:kern w:val="21"/>
          <w:sz w:val="32"/>
          <w:szCs w:val="32"/>
        </w:rPr>
        <w:t>的时效性</w:t>
      </w:r>
      <w:r>
        <w:rPr>
          <w:rFonts w:hint="eastAsia" w:ascii="仿宋_GB2312" w:eastAsia="仿宋_GB2312"/>
          <w:color w:val="000000" w:themeColor="text1"/>
          <w:kern w:val="21"/>
          <w:sz w:val="32"/>
          <w:szCs w:val="32"/>
        </w:rPr>
        <w:t>。</w:t>
      </w:r>
      <w:r>
        <w:rPr>
          <w:rFonts w:hint="eastAsia" w:ascii="仿宋_GB2312" w:eastAsia="仿宋_GB2312"/>
          <w:snapToGrid w:val="0"/>
          <w:color w:val="000000" w:themeColor="text1"/>
          <w:kern w:val="21"/>
          <w:sz w:val="32"/>
          <w:szCs w:val="32"/>
        </w:rPr>
        <w:t>加强数据分类分级管理，提高数据安全性。加强全市公共数据资源的一体化管理，完善基础数据库、丰富经济社会领域主题数据库，实现数据在线申请、在线获取，推动行业数据充分共享，激活数据价值。</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1" w:type="dxa"/>
          <w:bottom w:w="11" w:type="dxa"/>
          <w:right w:w="11"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1" w:type="dxa"/>
            <w:bottom w:w="11" w:type="dxa"/>
            <w:right w:w="11" w:type="dxa"/>
          </w:tblCellMar>
        </w:tblPrEx>
        <w:trPr>
          <w:trHeight w:val="454" w:hRule="atLeast"/>
          <w:jc w:val="center"/>
        </w:trPr>
        <w:tc>
          <w:tcPr>
            <w:tcW w:w="8500" w:type="dxa"/>
          </w:tcPr>
          <w:p>
            <w:pPr>
              <w:pStyle w:val="33"/>
              <w:spacing w:before="0" w:after="0" w:line="600" w:lineRule="exact"/>
              <w:jc w:val="center"/>
              <w:rPr>
                <w:rFonts w:ascii="方正黑体_GBK" w:hAnsi="方正黑体_GBK" w:eastAsia="方正黑体_GBK" w:cs="方正黑体_GBK"/>
                <w:bCs w:val="0"/>
                <w:color w:val="000000" w:themeColor="text1"/>
                <w:kern w:val="21"/>
                <w:sz w:val="28"/>
                <w:szCs w:val="28"/>
              </w:rPr>
            </w:pPr>
            <w:r>
              <w:rPr>
                <w:rFonts w:ascii="黑体" w:hAnsi="黑体" w:eastAsia="黑体"/>
                <w:color w:val="000000" w:themeColor="text1"/>
                <w:kern w:val="21"/>
                <w:sz w:val="30"/>
                <w:szCs w:val="30"/>
              </w:rPr>
              <w:t>专栏</w:t>
            </w:r>
            <w:r>
              <w:rPr>
                <w:rFonts w:hint="eastAsia" w:ascii="黑体" w:hAnsi="黑体" w:eastAsia="黑体"/>
                <w:color w:val="000000" w:themeColor="text1"/>
                <w:kern w:val="21"/>
                <w:sz w:val="30"/>
                <w:szCs w:val="30"/>
              </w:rPr>
              <w:t xml:space="preserve">2 </w:t>
            </w:r>
            <w:r>
              <w:rPr>
                <w:rFonts w:ascii="黑体" w:hAnsi="黑体" w:eastAsia="黑体"/>
                <w:color w:val="000000" w:themeColor="text1"/>
                <w:kern w:val="21"/>
                <w:sz w:val="30"/>
                <w:szCs w:val="30"/>
              </w:rPr>
              <w:t>数据</w:t>
            </w:r>
            <w:r>
              <w:rPr>
                <w:rFonts w:hint="eastAsia" w:ascii="黑体" w:hAnsi="黑体" w:eastAsia="黑体"/>
                <w:color w:val="000000" w:themeColor="text1"/>
                <w:kern w:val="21"/>
                <w:sz w:val="30"/>
                <w:szCs w:val="30"/>
              </w:rPr>
              <w:t>资源体系建设</w:t>
            </w:r>
            <w:r>
              <w:rPr>
                <w:rFonts w:ascii="黑体" w:hAnsi="黑体" w:eastAsia="黑体"/>
                <w:color w:val="000000" w:themeColor="text1"/>
                <w:kern w:val="21"/>
                <w:sz w:val="30"/>
                <w:szCs w:val="30"/>
              </w:rPr>
              <w:t>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1" w:type="dxa"/>
            <w:bottom w:w="11" w:type="dxa"/>
            <w:right w:w="11" w:type="dxa"/>
          </w:tblCellMar>
        </w:tblPrEx>
        <w:trPr>
          <w:trHeight w:val="454" w:hRule="atLeast"/>
          <w:jc w:val="center"/>
        </w:trPr>
        <w:tc>
          <w:tcPr>
            <w:tcW w:w="8500" w:type="dxa"/>
          </w:tcPr>
          <w:p>
            <w:pPr>
              <w:adjustRightInd w:val="0"/>
              <w:snapToGrid w:val="0"/>
              <w:spacing w:line="520" w:lineRule="exact"/>
              <w:ind w:firstLine="602" w:firstLineChars="200"/>
              <w:rPr>
                <w:rFonts w:ascii="楷体_GB2312" w:hAnsi="楷体_GB2312" w:eastAsia="楷体_GB2312"/>
                <w:bCs/>
                <w:color w:val="000000" w:themeColor="text1"/>
                <w:kern w:val="21"/>
                <w:sz w:val="30"/>
                <w:szCs w:val="30"/>
              </w:rPr>
            </w:pPr>
            <w:r>
              <w:rPr>
                <w:rFonts w:hint="eastAsia" w:ascii="楷体_GB2312" w:hAnsi="楷体_GB2312" w:eastAsia="楷体_GB2312"/>
                <w:b/>
                <w:color w:val="000000" w:themeColor="text1"/>
                <w:kern w:val="21"/>
                <w:sz w:val="30"/>
                <w:szCs w:val="30"/>
              </w:rPr>
              <w:t>数据采集整合：</w:t>
            </w:r>
            <w:r>
              <w:rPr>
                <w:rFonts w:hint="eastAsia" w:ascii="楷体_GB2312" w:hAnsi="楷体_GB2312" w:eastAsia="楷体_GB2312"/>
                <w:bCs/>
                <w:color w:val="000000" w:themeColor="text1"/>
                <w:kern w:val="21"/>
                <w:sz w:val="30"/>
                <w:szCs w:val="30"/>
              </w:rPr>
              <w:t>依托玉林云计算大数据中心，运用鲲鹏技术体系加快建设政务数据中心、政务网络体系，构建“一云承载”的政务数据治理模式。加快数据采集、归集，持续完善基础和主题数据资源库，统筹推进全市数据整合共享，完善数据共享交换、数据集成、数据资产管理和数据可视化等功能。建立线上政务数据大厅，强化数据整合、共享、应用。</w:t>
            </w:r>
          </w:p>
          <w:p>
            <w:pPr>
              <w:adjustRightInd w:val="0"/>
              <w:snapToGrid w:val="0"/>
              <w:spacing w:line="520" w:lineRule="exact"/>
              <w:ind w:firstLine="602" w:firstLineChars="200"/>
              <w:rPr>
                <w:color w:val="000000" w:themeColor="text1"/>
              </w:rPr>
            </w:pPr>
            <w:r>
              <w:rPr>
                <w:rFonts w:ascii="楷体_GB2312" w:hAnsi="楷体_GB2312" w:eastAsia="楷体_GB2312"/>
                <w:b/>
                <w:color w:val="000000" w:themeColor="text1"/>
                <w:kern w:val="21"/>
                <w:sz w:val="30"/>
                <w:szCs w:val="30"/>
              </w:rPr>
              <w:t>数据价值挖掘：</w:t>
            </w:r>
            <w:r>
              <w:rPr>
                <w:rFonts w:ascii="楷体_GB2312" w:hAnsi="楷体_GB2312" w:eastAsia="楷体_GB2312"/>
                <w:bCs/>
                <w:color w:val="000000" w:themeColor="text1"/>
                <w:kern w:val="21"/>
                <w:sz w:val="30"/>
                <w:szCs w:val="30"/>
              </w:rPr>
              <w:t>围绕</w:t>
            </w:r>
            <w:r>
              <w:rPr>
                <w:rFonts w:hint="eastAsia" w:ascii="楷体_GB2312" w:hAnsi="楷体_GB2312" w:eastAsia="楷体_GB2312"/>
                <w:bCs/>
                <w:color w:val="000000" w:themeColor="text1"/>
                <w:kern w:val="21"/>
                <w:sz w:val="30"/>
                <w:szCs w:val="30"/>
              </w:rPr>
              <w:t>玉林市主导</w:t>
            </w:r>
            <w:r>
              <w:rPr>
                <w:rFonts w:ascii="楷体_GB2312" w:hAnsi="楷体_GB2312" w:eastAsia="楷体_GB2312"/>
                <w:bCs/>
                <w:color w:val="000000" w:themeColor="text1"/>
                <w:kern w:val="21"/>
                <w:sz w:val="30"/>
                <w:szCs w:val="30"/>
              </w:rPr>
              <w:t>产业</w:t>
            </w:r>
            <w:r>
              <w:rPr>
                <w:rFonts w:hint="eastAsia" w:ascii="楷体_GB2312" w:hAnsi="楷体_GB2312" w:eastAsia="楷体_GB2312"/>
                <w:bCs/>
                <w:color w:val="000000" w:themeColor="text1"/>
                <w:kern w:val="21"/>
                <w:sz w:val="30"/>
                <w:szCs w:val="30"/>
              </w:rPr>
              <w:t>、特色产业以及战略性新兴产业</w:t>
            </w:r>
            <w:r>
              <w:rPr>
                <w:rFonts w:ascii="楷体_GB2312" w:hAnsi="楷体_GB2312" w:eastAsia="楷体_GB2312"/>
                <w:bCs/>
                <w:color w:val="000000" w:themeColor="text1"/>
                <w:kern w:val="21"/>
                <w:sz w:val="30"/>
                <w:szCs w:val="30"/>
              </w:rPr>
              <w:t>体系的业务流程及数据应用需求，开发工业大数据应用解决方案，实现数据驱动业务，数据提升制造效能。</w:t>
            </w:r>
          </w:p>
          <w:p>
            <w:pPr>
              <w:adjustRightInd w:val="0"/>
              <w:snapToGrid w:val="0"/>
              <w:spacing w:line="520" w:lineRule="exact"/>
              <w:ind w:firstLine="602" w:firstLineChars="200"/>
              <w:rPr>
                <w:rFonts w:eastAsia="方正仿宋_GBK"/>
                <w:color w:val="000000" w:themeColor="text1"/>
                <w:kern w:val="21"/>
                <w:sz w:val="28"/>
                <w:szCs w:val="28"/>
              </w:rPr>
            </w:pPr>
            <w:r>
              <w:rPr>
                <w:rFonts w:ascii="楷体_GB2312" w:hAnsi="楷体_GB2312" w:eastAsia="楷体_GB2312"/>
                <w:b/>
                <w:color w:val="000000" w:themeColor="text1"/>
                <w:kern w:val="21"/>
                <w:sz w:val="30"/>
                <w:szCs w:val="30"/>
              </w:rPr>
              <w:t>数据资源开放</w:t>
            </w:r>
            <w:r>
              <w:rPr>
                <w:rFonts w:hint="eastAsia" w:ascii="楷体_GB2312" w:hAnsi="楷体_GB2312" w:eastAsia="楷体_GB2312"/>
                <w:b/>
                <w:color w:val="000000" w:themeColor="text1"/>
                <w:kern w:val="21"/>
                <w:sz w:val="30"/>
                <w:szCs w:val="30"/>
              </w:rPr>
              <w:t>：</w:t>
            </w:r>
            <w:r>
              <w:rPr>
                <w:rFonts w:ascii="楷体_GB2312" w:hAnsi="楷体_GB2312" w:eastAsia="楷体_GB2312"/>
                <w:bCs/>
                <w:color w:val="000000" w:themeColor="text1"/>
                <w:kern w:val="21"/>
                <w:sz w:val="30"/>
                <w:szCs w:val="30"/>
              </w:rPr>
              <w:t>制定公共数据开放目录和数据开放清单，建设全市统一公共数据资源开放平台，推进政务部门和公共企事业单位数据资源集中向社会开放。提供分领域、分部门数据查询、下载以及接口开放等服务，与政府门户网站前端实现集成，并向上对接</w:t>
            </w:r>
            <w:r>
              <w:rPr>
                <w:rFonts w:hint="eastAsia" w:ascii="楷体_GB2312" w:hAnsi="楷体_GB2312" w:eastAsia="楷体_GB2312"/>
                <w:bCs/>
                <w:color w:val="000000" w:themeColor="text1"/>
                <w:kern w:val="21"/>
                <w:sz w:val="30"/>
                <w:szCs w:val="30"/>
              </w:rPr>
              <w:t>自治区</w:t>
            </w:r>
            <w:r>
              <w:rPr>
                <w:rFonts w:ascii="楷体_GB2312" w:hAnsi="楷体_GB2312" w:eastAsia="楷体_GB2312"/>
                <w:bCs/>
                <w:color w:val="000000" w:themeColor="text1"/>
                <w:kern w:val="21"/>
                <w:sz w:val="30"/>
                <w:szCs w:val="30"/>
              </w:rPr>
              <w:t>级公共数据资源开放服务网站。</w:t>
            </w:r>
          </w:p>
        </w:tc>
      </w:tr>
    </w:tbl>
    <w:p>
      <w:pPr>
        <w:pStyle w:val="5"/>
        <w:keepNext w:val="0"/>
        <w:keepLines w:val="0"/>
        <w:adjustRightInd w:val="0"/>
        <w:snapToGrid w:val="0"/>
        <w:spacing w:before="0" w:after="0" w:line="600" w:lineRule="exact"/>
        <w:ind w:firstLine="640"/>
        <w:jc w:val="both"/>
        <w:rPr>
          <w:rFonts w:ascii="方正楷体_GBK" w:hAnsi="方正楷体_GBK" w:eastAsia="方正楷体_GBK" w:cs="方正楷体_GBK"/>
          <w:bCs w:val="0"/>
          <w:color w:val="000000" w:themeColor="text1"/>
          <w:kern w:val="21"/>
        </w:rPr>
      </w:pPr>
      <w:bookmarkStart w:id="45" w:name="_Toc93409990"/>
      <w:r>
        <w:rPr>
          <w:rFonts w:hint="eastAsia" w:ascii="方正楷体_GBK" w:hAnsi="方正楷体_GBK" w:eastAsia="方正楷体_GBK" w:cs="方正楷体_GBK"/>
          <w:bCs w:val="0"/>
          <w:color w:val="000000" w:themeColor="text1"/>
          <w:kern w:val="21"/>
        </w:rPr>
        <w:t>（二）奋力慧中枢增应用，打造智慧城市中枢</w:t>
      </w:r>
      <w:bookmarkEnd w:id="45"/>
    </w:p>
    <w:p>
      <w:pPr>
        <w:spacing w:line="600" w:lineRule="exact"/>
        <w:ind w:firstLine="640" w:firstLineChars="200"/>
        <w:rPr>
          <w:rFonts w:ascii="仿宋_GB2312" w:eastAsia="仿宋_GB2312"/>
          <w:snapToGrid w:val="0"/>
          <w:color w:val="000000" w:themeColor="text1"/>
          <w:kern w:val="21"/>
          <w:sz w:val="32"/>
          <w:szCs w:val="32"/>
        </w:rPr>
      </w:pPr>
      <w:r>
        <w:rPr>
          <w:rFonts w:hint="eastAsia" w:ascii="仿宋_GB2312" w:eastAsia="仿宋_GB2312"/>
          <w:snapToGrid w:val="0"/>
          <w:color w:val="000000" w:themeColor="text1"/>
          <w:kern w:val="21"/>
          <w:sz w:val="32"/>
          <w:szCs w:val="32"/>
        </w:rPr>
        <w:t>将“打造智慧城市中枢”作为“数字玉林”建设的总抓手，遵循“夯实基础、塑造能力、完善支撑、赋码生活、创新应用”的总体思路，打造“城市大脑”，构建大屏（指挥中心）、中屏</w:t>
      </w:r>
      <w:r>
        <w:rPr>
          <w:rFonts w:eastAsia="仿宋_GB2312"/>
          <w:snapToGrid w:val="0"/>
          <w:color w:val="000000" w:themeColor="text1"/>
          <w:kern w:val="21"/>
          <w:sz w:val="32"/>
          <w:szCs w:val="32"/>
        </w:rPr>
        <w:t>（PC</w:t>
      </w:r>
      <w:r>
        <w:rPr>
          <w:rFonts w:ascii="仿宋_GB2312" w:eastAsia="仿宋_GB2312"/>
          <w:snapToGrid w:val="0"/>
          <w:color w:val="000000" w:themeColor="text1"/>
          <w:kern w:val="21"/>
          <w:sz w:val="32"/>
          <w:szCs w:val="32"/>
        </w:rPr>
        <w:t>管理端）、小屏（用户端）三端联动、三级（市县乡）协同的领导驾驶舱，实现综合分析、展示和指挥</w:t>
      </w:r>
      <w:r>
        <w:rPr>
          <w:rFonts w:hint="eastAsia" w:ascii="仿宋_GB2312" w:eastAsia="仿宋_GB2312"/>
          <w:snapToGrid w:val="0"/>
          <w:color w:val="000000" w:themeColor="text1"/>
          <w:kern w:val="21"/>
          <w:sz w:val="32"/>
          <w:szCs w:val="32"/>
        </w:rPr>
        <w:t>，打造“一网统管”的玉林模式，让城市更聪明、更智慧。</w:t>
      </w:r>
    </w:p>
    <w:p>
      <w:pPr>
        <w:pStyle w:val="6"/>
        <w:spacing w:before="0" w:after="0" w:line="600" w:lineRule="exact"/>
        <w:ind w:firstLine="643" w:firstLineChars="200"/>
        <w:rPr>
          <w:rFonts w:eastAsia="楷体_GB2312"/>
          <w:color w:val="000000" w:themeColor="text1"/>
        </w:rPr>
      </w:pPr>
      <w:bookmarkStart w:id="46" w:name="_Toc93409991"/>
      <w:r>
        <w:rPr>
          <w:rFonts w:hint="eastAsia" w:eastAsia="楷体_GB2312"/>
          <w:color w:val="000000" w:themeColor="text1"/>
        </w:rPr>
        <w:t>1</w:t>
      </w:r>
      <w:r>
        <w:rPr>
          <w:rFonts w:eastAsia="楷体_GB2312"/>
          <w:color w:val="000000" w:themeColor="text1"/>
        </w:rPr>
        <w:t>.</w:t>
      </w:r>
      <w:r>
        <w:rPr>
          <w:rFonts w:hint="eastAsia" w:eastAsia="楷体_GB2312"/>
          <w:color w:val="000000" w:themeColor="text1"/>
        </w:rPr>
        <w:t>完善城市大脑基础设施</w:t>
      </w:r>
      <w:bookmarkEnd w:id="46"/>
    </w:p>
    <w:p>
      <w:pPr>
        <w:spacing w:line="600" w:lineRule="exact"/>
        <w:ind w:firstLine="640" w:firstLineChars="200"/>
        <w:rPr>
          <w:rFonts w:ascii="仿宋_GB2312" w:eastAsia="仿宋_GB2312"/>
          <w:snapToGrid w:val="0"/>
          <w:color w:val="000000" w:themeColor="text1"/>
          <w:kern w:val="21"/>
          <w:sz w:val="32"/>
          <w:szCs w:val="32"/>
        </w:rPr>
      </w:pPr>
      <w:r>
        <w:rPr>
          <w:rFonts w:hint="eastAsia" w:ascii="仿宋_GB2312" w:eastAsia="仿宋_GB2312"/>
          <w:snapToGrid w:val="0"/>
          <w:color w:val="000000" w:themeColor="text1"/>
          <w:kern w:val="21"/>
          <w:sz w:val="32"/>
          <w:szCs w:val="32"/>
        </w:rPr>
        <w:t>坚持全周期管理、平战结合、便民惠企、撬动变革、安全高效的理念，全面深化完善城市大脑功能。重点完善物联感知、网络通信、存储计算等新型基础设施建设，建立一体化智能化公共数据平台。聚焦城市治理中的“卡脖子”问题，加强城市大脑数据高效协同，打造线上线下深度融合和市、县(市、区)、部门、乡镇(街道)等多层级联动的“数字驾驶舱”。依托玉林云计算大数据中心与孪生计算中心，建设公共视频分析共享平台，汇聚接入公安、综治、城管、交通、生态环境等各类监控视频，全景展示城市治理信息，做到“可预警、可研判、可指挥、可复盘”</w:t>
      </w:r>
      <w:r>
        <w:rPr>
          <w:rFonts w:hint="eastAsia" w:ascii="仿宋_GB2312" w:eastAsia="仿宋_GB2312"/>
          <w:color w:val="000000" w:themeColor="text1"/>
          <w:kern w:val="21"/>
          <w:sz w:val="32"/>
          <w:szCs w:val="32"/>
        </w:rPr>
        <w:t>。</w:t>
      </w:r>
    </w:p>
    <w:p>
      <w:pPr>
        <w:pStyle w:val="6"/>
        <w:spacing w:before="0" w:after="0" w:line="600" w:lineRule="exact"/>
        <w:ind w:firstLine="643" w:firstLineChars="200"/>
        <w:rPr>
          <w:rFonts w:eastAsia="楷体_GB2312"/>
          <w:color w:val="000000" w:themeColor="text1"/>
        </w:rPr>
      </w:pPr>
      <w:bookmarkStart w:id="47" w:name="_Toc93409992"/>
      <w:r>
        <w:rPr>
          <w:rFonts w:hint="eastAsia" w:eastAsia="楷体_GB2312"/>
          <w:color w:val="000000" w:themeColor="text1"/>
        </w:rPr>
        <w:t>2</w:t>
      </w:r>
      <w:r>
        <w:rPr>
          <w:rFonts w:eastAsia="楷体_GB2312"/>
          <w:color w:val="000000" w:themeColor="text1"/>
        </w:rPr>
        <w:t>.</w:t>
      </w:r>
      <w:r>
        <w:rPr>
          <w:rFonts w:hint="eastAsia" w:eastAsia="楷体_GB2312"/>
          <w:color w:val="000000" w:themeColor="text1"/>
        </w:rPr>
        <w:t>健全城市大脑管理体系</w:t>
      </w:r>
      <w:bookmarkEnd w:id="47"/>
    </w:p>
    <w:p>
      <w:pPr>
        <w:spacing w:line="600" w:lineRule="exact"/>
        <w:ind w:firstLine="640" w:firstLineChars="200"/>
        <w:rPr>
          <w:rFonts w:ascii="仿宋_GB2312" w:eastAsia="仿宋_GB2312"/>
          <w:color w:val="000000" w:themeColor="text1"/>
          <w:kern w:val="21"/>
          <w:sz w:val="32"/>
          <w:szCs w:val="32"/>
        </w:rPr>
      </w:pPr>
      <w:r>
        <w:rPr>
          <w:rFonts w:hint="eastAsia" w:ascii="仿宋_GB2312" w:eastAsia="仿宋_GB2312"/>
          <w:snapToGrid w:val="0"/>
          <w:color w:val="000000" w:themeColor="text1"/>
          <w:kern w:val="21"/>
          <w:sz w:val="32"/>
          <w:szCs w:val="32"/>
        </w:rPr>
        <w:t>推动各部门信息系统整合，提供统一用户管理、服务管理、消息管理等基础服务，实现跨部门系统互联互通和业务协同。</w:t>
      </w:r>
      <w:r>
        <w:rPr>
          <w:rFonts w:hint="eastAsia" w:ascii="仿宋_GB2312" w:eastAsia="仿宋_GB2312"/>
          <w:color w:val="000000" w:themeColor="text1"/>
          <w:kern w:val="21"/>
          <w:sz w:val="32"/>
          <w:szCs w:val="32"/>
        </w:rPr>
        <w:t>推动新型智慧城市管理可视化，提高城市科学化决策水平。依托一体化智能化公共数据平台，实现模拟运行、交互反馈、全域全时监测，发挥辅助决策作用，全面赋能城市治理和经济发展。</w:t>
      </w:r>
    </w:p>
    <w:p>
      <w:pPr>
        <w:spacing w:line="600" w:lineRule="exact"/>
        <w:ind w:firstLine="643" w:firstLineChars="200"/>
        <w:rPr>
          <w:rFonts w:ascii="仿宋_GB2312" w:eastAsia="仿宋_GB2312"/>
          <w:snapToGrid w:val="0"/>
          <w:color w:val="000000" w:themeColor="text1"/>
          <w:kern w:val="21"/>
          <w:sz w:val="32"/>
          <w:szCs w:val="32"/>
        </w:rPr>
      </w:pPr>
      <w:r>
        <w:rPr>
          <w:rFonts w:hint="eastAsia" w:ascii="楷体_GB2312" w:hAnsi="楷体_GB2312" w:eastAsia="楷体_GB2312"/>
          <w:b/>
          <w:bCs/>
          <w:snapToGrid w:val="0"/>
          <w:color w:val="000000" w:themeColor="text1"/>
          <w:kern w:val="21"/>
          <w:sz w:val="32"/>
          <w:szCs w:val="32"/>
        </w:rPr>
        <w:t>实现城市信息一图总览：</w:t>
      </w:r>
      <w:r>
        <w:rPr>
          <w:rFonts w:hint="eastAsia" w:ascii="仿宋_GB2312" w:eastAsia="仿宋_GB2312"/>
          <w:snapToGrid w:val="0"/>
          <w:color w:val="000000" w:themeColor="text1"/>
          <w:kern w:val="21"/>
          <w:sz w:val="32"/>
          <w:szCs w:val="32"/>
        </w:rPr>
        <w:t>基于数字孪生中心构建“玉林市一张图”，打造数字孪生城市示范应用。</w:t>
      </w:r>
    </w:p>
    <w:p>
      <w:pPr>
        <w:spacing w:line="600" w:lineRule="exact"/>
        <w:ind w:firstLine="643" w:firstLineChars="200"/>
        <w:rPr>
          <w:rFonts w:ascii="仿宋_GB2312" w:eastAsia="仿宋_GB2312"/>
          <w:snapToGrid w:val="0"/>
          <w:color w:val="000000" w:themeColor="text1"/>
          <w:kern w:val="21"/>
          <w:sz w:val="32"/>
          <w:szCs w:val="32"/>
        </w:rPr>
      </w:pPr>
      <w:r>
        <w:rPr>
          <w:rFonts w:hint="eastAsia" w:ascii="楷体_GB2312" w:hAnsi="楷体_GB2312" w:eastAsia="楷体_GB2312"/>
          <w:b/>
          <w:bCs/>
          <w:snapToGrid w:val="0"/>
          <w:color w:val="000000" w:themeColor="text1"/>
          <w:kern w:val="21"/>
          <w:sz w:val="32"/>
          <w:szCs w:val="32"/>
        </w:rPr>
        <w:t>实现指挥决策一网调度：</w:t>
      </w:r>
      <w:r>
        <w:rPr>
          <w:rFonts w:hint="eastAsia" w:ascii="仿宋_GB2312" w:eastAsia="仿宋_GB2312"/>
          <w:snapToGrid w:val="0"/>
          <w:color w:val="000000" w:themeColor="text1"/>
          <w:kern w:val="21"/>
          <w:sz w:val="32"/>
          <w:szCs w:val="32"/>
        </w:rPr>
        <w:t>采用“互联网+物联网+大数据+人工智能+政务服务”手段，运用移动执法、北斗卫星遥感、无人机、地理信息等技术，打造应急、安全、环保、生态全覆盖的“天地空”一体化的智慧监控管体系。</w:t>
      </w:r>
    </w:p>
    <w:p>
      <w:pPr>
        <w:spacing w:line="600" w:lineRule="exact"/>
        <w:ind w:firstLine="643" w:firstLineChars="200"/>
        <w:rPr>
          <w:color w:val="000000" w:themeColor="text1"/>
        </w:rPr>
      </w:pPr>
      <w:r>
        <w:rPr>
          <w:rFonts w:hint="eastAsia" w:ascii="楷体_GB2312" w:hAnsi="楷体_GB2312" w:eastAsia="楷体_GB2312"/>
          <w:b/>
          <w:bCs/>
          <w:snapToGrid w:val="0"/>
          <w:color w:val="000000" w:themeColor="text1"/>
          <w:kern w:val="21"/>
          <w:sz w:val="32"/>
          <w:szCs w:val="32"/>
        </w:rPr>
        <w:t>实现政府协作一指触达：</w:t>
      </w:r>
      <w:r>
        <w:rPr>
          <w:rFonts w:hint="eastAsia" w:ascii="仿宋_GB2312" w:eastAsia="仿宋_GB2312"/>
          <w:snapToGrid w:val="0"/>
          <w:color w:val="000000" w:themeColor="text1"/>
          <w:kern w:val="21"/>
          <w:sz w:val="32"/>
          <w:szCs w:val="32"/>
        </w:rPr>
        <w:t>进一步提升移动端的应用连接能力，通过移动端掌握城市运行态势、热点事件、宏观发展等情况，随时连线各方下达管理指令。</w:t>
      </w:r>
    </w:p>
    <w:p>
      <w:pPr>
        <w:pStyle w:val="6"/>
        <w:spacing w:before="0" w:after="0" w:line="600" w:lineRule="exact"/>
        <w:ind w:firstLine="643" w:firstLineChars="200"/>
        <w:rPr>
          <w:rFonts w:eastAsia="楷体_GB2312"/>
          <w:color w:val="000000" w:themeColor="text1"/>
        </w:rPr>
      </w:pPr>
      <w:bookmarkStart w:id="48" w:name="_Toc93409993"/>
      <w:r>
        <w:rPr>
          <w:rFonts w:hint="eastAsia" w:eastAsia="楷体_GB2312"/>
          <w:color w:val="000000" w:themeColor="text1"/>
        </w:rPr>
        <w:t>3</w:t>
      </w:r>
      <w:r>
        <w:rPr>
          <w:rFonts w:eastAsia="楷体_GB2312"/>
          <w:color w:val="000000" w:themeColor="text1"/>
        </w:rPr>
        <w:t>.</w:t>
      </w:r>
      <w:r>
        <w:rPr>
          <w:rFonts w:hint="eastAsia" w:eastAsia="楷体_GB2312"/>
          <w:color w:val="000000" w:themeColor="text1"/>
        </w:rPr>
        <w:t>丰富城市大脑应用场景</w:t>
      </w:r>
      <w:bookmarkEnd w:id="48"/>
    </w:p>
    <w:p>
      <w:pPr>
        <w:spacing w:line="600" w:lineRule="exact"/>
        <w:ind w:firstLine="640" w:firstLineChars="200"/>
        <w:rPr>
          <w:color w:val="000000" w:themeColor="text1"/>
        </w:rPr>
      </w:pPr>
      <w:r>
        <w:rPr>
          <w:rFonts w:hint="eastAsia" w:ascii="仿宋_GB2312" w:eastAsia="仿宋_GB2312"/>
          <w:snapToGrid w:val="0"/>
          <w:color w:val="000000" w:themeColor="text1"/>
          <w:kern w:val="21"/>
          <w:sz w:val="32"/>
          <w:szCs w:val="32"/>
        </w:rPr>
        <w:t>聚焦“效能政府、民生服务、社会治理、产业赋能”四大方向，在城市安全、经济调节、市场监管、公共服务、社会管理、生态环境等领域探索开发一批具有玉林特色的应用场景。</w:t>
      </w:r>
      <w:r>
        <w:rPr>
          <w:rFonts w:hint="eastAsia" w:ascii="仿宋_GB2312" w:eastAsia="仿宋_GB2312"/>
          <w:color w:val="000000" w:themeColor="text1"/>
          <w:kern w:val="21"/>
          <w:sz w:val="32"/>
          <w:szCs w:val="32"/>
        </w:rPr>
        <w:t>推动智慧社区平台建设，推动就业、社保、救助、医疗、法律等数字化公共服务延伸到社区，提升社区治理智能化水平。依托“园区大脑”和“产业大脑”建设，整合政企社多源数据，逐步形成“智能感知、智能分析、智能运行、智能处置”的全流程闭环体系。</w:t>
      </w:r>
    </w:p>
    <w:tbl>
      <w:tblPr>
        <w:tblStyle w:val="21"/>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tcPr>
          <w:p>
            <w:pPr>
              <w:pStyle w:val="33"/>
              <w:spacing w:before="0" w:after="0" w:line="600" w:lineRule="exact"/>
              <w:jc w:val="center"/>
              <w:rPr>
                <w:rFonts w:ascii="仿宋_GB2312" w:hAnsi="仿宋" w:eastAsia="仿宋_GB2312"/>
                <w:color w:val="000000" w:themeColor="text1"/>
                <w:sz w:val="32"/>
                <w:szCs w:val="32"/>
              </w:rPr>
            </w:pPr>
            <w:r>
              <w:rPr>
                <w:rFonts w:hint="eastAsia" w:ascii="黑体" w:hAnsi="黑体" w:eastAsia="黑体"/>
                <w:color w:val="000000" w:themeColor="text1"/>
                <w:kern w:val="21"/>
                <w:sz w:val="30"/>
                <w:szCs w:val="30"/>
              </w:rPr>
              <w:t>专</w:t>
            </w:r>
            <w:r>
              <w:rPr>
                <w:rFonts w:ascii="黑体" w:hAnsi="黑体" w:eastAsia="黑体"/>
                <w:color w:val="000000" w:themeColor="text1"/>
                <w:kern w:val="21"/>
                <w:sz w:val="30"/>
                <w:szCs w:val="30"/>
              </w:rPr>
              <w:t>栏</w:t>
            </w:r>
            <w:r>
              <w:rPr>
                <w:rFonts w:hint="eastAsia" w:ascii="黑体" w:hAnsi="黑体" w:eastAsia="黑体"/>
                <w:color w:val="000000" w:themeColor="text1"/>
                <w:kern w:val="21"/>
                <w:sz w:val="30"/>
                <w:szCs w:val="30"/>
              </w:rPr>
              <w:t>3 智慧城市中枢重点工程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tcPr>
          <w:p>
            <w:pPr>
              <w:spacing w:line="520" w:lineRule="exact"/>
              <w:ind w:firstLine="602" w:firstLineChars="200"/>
              <w:rPr>
                <w:rFonts w:ascii="楷体_GB2312" w:hAnsi="楷体_GB2312" w:eastAsia="楷体_GB2312"/>
                <w:bCs/>
                <w:color w:val="000000" w:themeColor="text1"/>
                <w:kern w:val="21"/>
                <w:sz w:val="30"/>
                <w:szCs w:val="30"/>
              </w:rPr>
            </w:pPr>
            <w:r>
              <w:rPr>
                <w:rFonts w:hint="eastAsia" w:ascii="楷体_GB2312" w:hAnsi="楷体_GB2312" w:eastAsia="楷体_GB2312"/>
                <w:b/>
                <w:color w:val="000000" w:themeColor="text1"/>
                <w:kern w:val="21"/>
                <w:sz w:val="30"/>
                <w:szCs w:val="30"/>
              </w:rPr>
              <w:t>“城市大脑”智慧中枢建设工程：</w:t>
            </w:r>
            <w:r>
              <w:rPr>
                <w:rFonts w:hint="eastAsia" w:ascii="楷体_GB2312" w:hAnsi="楷体_GB2312" w:eastAsia="楷体_GB2312"/>
                <w:bCs/>
                <w:color w:val="000000" w:themeColor="text1"/>
                <w:kern w:val="21"/>
                <w:sz w:val="30"/>
                <w:szCs w:val="30"/>
              </w:rPr>
              <w:t>构建玉林“城市大脑”数据中台、业务中台和能力中台，整合各部门信息系统，推进公共数据开放，打造互联互通、信息共享的一体化公共数据平台，构建基于“玉林大脑”开放共享的智慧城市建设体系。</w:t>
            </w:r>
            <w:r>
              <w:rPr>
                <w:rFonts w:ascii="楷体_GB2312" w:hAnsi="楷体_GB2312" w:eastAsia="楷体_GB2312"/>
                <w:bCs/>
                <w:color w:val="000000" w:themeColor="text1"/>
                <w:kern w:val="21"/>
                <w:sz w:val="30"/>
                <w:szCs w:val="30"/>
              </w:rPr>
              <w:t>融合建设“城市大脑”数字驾驶舱和数字政府综合应用门户，</w:t>
            </w:r>
            <w:r>
              <w:rPr>
                <w:rFonts w:hint="eastAsia" w:ascii="楷体_GB2312" w:hAnsi="楷体_GB2312" w:eastAsia="楷体_GB2312"/>
                <w:bCs/>
                <w:color w:val="000000" w:themeColor="text1"/>
                <w:kern w:val="21"/>
                <w:sz w:val="30"/>
                <w:szCs w:val="30"/>
              </w:rPr>
              <w:t>围绕服务指挥决策、行业管理和便民利企，融合提升城市管理、市场监管、生态环保、交通运输、应急指挥等行业管理和指挥系统，构建平战结合</w:t>
            </w:r>
            <w:r>
              <w:rPr>
                <w:rFonts w:ascii="楷体_GB2312" w:hAnsi="楷体_GB2312" w:eastAsia="楷体_GB2312"/>
                <w:bCs/>
                <w:color w:val="000000" w:themeColor="text1"/>
                <w:kern w:val="21"/>
                <w:sz w:val="30"/>
                <w:szCs w:val="30"/>
              </w:rPr>
              <w:t>的</w:t>
            </w:r>
            <w:r>
              <w:rPr>
                <w:rFonts w:hint="eastAsia" w:ascii="楷体_GB2312" w:hAnsi="楷体_GB2312" w:eastAsia="楷体_GB2312"/>
                <w:bCs/>
                <w:color w:val="000000" w:themeColor="text1"/>
                <w:kern w:val="21"/>
                <w:sz w:val="30"/>
                <w:szCs w:val="30"/>
              </w:rPr>
              <w:t>城市事件感知预警体系。</w:t>
            </w:r>
          </w:p>
          <w:p>
            <w:pPr>
              <w:pStyle w:val="2"/>
              <w:spacing w:after="0" w:line="520" w:lineRule="exact"/>
              <w:ind w:firstLine="602" w:firstLineChars="200"/>
              <w:rPr>
                <w:rFonts w:ascii="楷体_GB2312" w:hAnsi="楷体_GB2312" w:eastAsia="楷体_GB2312"/>
                <w:color w:val="000000" w:themeColor="text1"/>
                <w:sz w:val="30"/>
                <w:szCs w:val="30"/>
              </w:rPr>
            </w:pPr>
            <w:r>
              <w:rPr>
                <w:rFonts w:eastAsia="楷体_GB2312"/>
                <w:b/>
                <w:bCs/>
                <w:color w:val="000000" w:themeColor="text1"/>
                <w:sz w:val="30"/>
                <w:szCs w:val="30"/>
              </w:rPr>
              <w:t>1个运营指挥中心：</w:t>
            </w:r>
            <w:r>
              <w:rPr>
                <w:rFonts w:hint="eastAsia" w:ascii="楷体_GB2312" w:hAnsi="楷体_GB2312" w:eastAsia="楷体_GB2312"/>
                <w:color w:val="000000" w:themeColor="text1"/>
                <w:sz w:val="30"/>
                <w:szCs w:val="30"/>
              </w:rPr>
              <w:t>建设集综合指挥、成果展示等功能于一体，推进各单位重要应用系统和数据集中汇集、快速调用、上下联动的“数字驾驶舱”；</w:t>
            </w:r>
          </w:p>
          <w:p>
            <w:pPr>
              <w:pStyle w:val="2"/>
              <w:spacing w:after="0" w:line="520" w:lineRule="exact"/>
              <w:ind w:firstLine="602" w:firstLineChars="200"/>
              <w:rPr>
                <w:rFonts w:ascii="楷体_GB2312" w:hAnsi="楷体_GB2312" w:eastAsia="楷体_GB2312"/>
                <w:color w:val="000000" w:themeColor="text1"/>
                <w:sz w:val="30"/>
                <w:szCs w:val="30"/>
              </w:rPr>
            </w:pPr>
            <w:r>
              <w:rPr>
                <w:rFonts w:eastAsia="楷体_GB2312"/>
                <w:b/>
                <w:bCs/>
                <w:color w:val="000000" w:themeColor="text1"/>
                <w:sz w:val="30"/>
                <w:szCs w:val="30"/>
              </w:rPr>
              <w:t>1个数据中心：</w:t>
            </w:r>
            <w:r>
              <w:rPr>
                <w:rFonts w:hint="eastAsia" w:ascii="楷体_GB2312" w:hAnsi="楷体_GB2312" w:eastAsia="楷体_GB2312"/>
                <w:color w:val="000000" w:themeColor="text1"/>
                <w:sz w:val="30"/>
                <w:szCs w:val="30"/>
              </w:rPr>
              <w:t>建立全市统一的政府信息资源目录和数据共享交换体系，建立各类主题数据库，建立城市级大数据中心；</w:t>
            </w:r>
          </w:p>
          <w:p>
            <w:pPr>
              <w:pStyle w:val="2"/>
              <w:spacing w:after="0" w:line="520" w:lineRule="exact"/>
              <w:ind w:firstLine="602" w:firstLineChars="200"/>
              <w:rPr>
                <w:rFonts w:eastAsia="楷体_GB2312"/>
                <w:b/>
                <w:bCs/>
                <w:color w:val="000000" w:themeColor="text1"/>
                <w:sz w:val="30"/>
                <w:szCs w:val="30"/>
              </w:rPr>
            </w:pPr>
            <w:r>
              <w:rPr>
                <w:rFonts w:eastAsia="楷体_GB2312"/>
                <w:b/>
                <w:bCs/>
                <w:color w:val="000000" w:themeColor="text1"/>
                <w:sz w:val="30"/>
                <w:szCs w:val="30"/>
              </w:rPr>
              <w:t>5大支撑平台：</w:t>
            </w:r>
          </w:p>
          <w:p>
            <w:pPr>
              <w:pStyle w:val="2"/>
              <w:spacing w:after="0" w:line="520" w:lineRule="exact"/>
              <w:ind w:firstLine="600" w:firstLineChars="200"/>
              <w:rPr>
                <w:rFonts w:ascii="楷体_GB2312" w:hAnsi="楷体_GB2312" w:eastAsia="楷体_GB2312"/>
                <w:color w:val="000000" w:themeColor="text1"/>
                <w:sz w:val="30"/>
                <w:szCs w:val="30"/>
              </w:rPr>
            </w:pPr>
            <w:r>
              <w:rPr>
                <w:rFonts w:hint="eastAsia" w:ascii="楷体_GB2312" w:hAnsi="楷体_GB2312" w:eastAsia="楷体_GB2312"/>
                <w:color w:val="000000" w:themeColor="text1"/>
                <w:sz w:val="30"/>
                <w:szCs w:val="30"/>
              </w:rPr>
              <w:t>“一朵云”，作为“城市大脑”的“计算中心”；</w:t>
            </w:r>
          </w:p>
          <w:p>
            <w:pPr>
              <w:pStyle w:val="2"/>
              <w:spacing w:after="0" w:line="520" w:lineRule="exact"/>
              <w:ind w:firstLine="600" w:firstLineChars="200"/>
              <w:rPr>
                <w:rFonts w:ascii="楷体_GB2312" w:hAnsi="楷体_GB2312" w:eastAsia="楷体_GB2312"/>
                <w:color w:val="000000" w:themeColor="text1"/>
                <w:sz w:val="30"/>
                <w:szCs w:val="30"/>
              </w:rPr>
            </w:pPr>
            <w:r>
              <w:rPr>
                <w:rFonts w:hint="eastAsia" w:ascii="楷体_GB2312" w:hAnsi="楷体_GB2312" w:eastAsia="楷体_GB2312"/>
                <w:color w:val="000000" w:themeColor="text1"/>
                <w:sz w:val="30"/>
                <w:szCs w:val="30"/>
              </w:rPr>
              <w:t>“一张网”，作为“城市大脑”的“神经末梢”；</w:t>
            </w:r>
          </w:p>
          <w:p>
            <w:pPr>
              <w:pStyle w:val="2"/>
              <w:spacing w:after="0" w:line="520" w:lineRule="exact"/>
              <w:ind w:firstLine="600" w:firstLineChars="200"/>
              <w:rPr>
                <w:rFonts w:ascii="楷体_GB2312" w:hAnsi="楷体_GB2312" w:eastAsia="楷体_GB2312"/>
                <w:color w:val="000000" w:themeColor="text1"/>
                <w:sz w:val="30"/>
                <w:szCs w:val="30"/>
              </w:rPr>
            </w:pPr>
            <w:r>
              <w:rPr>
                <w:rFonts w:hint="eastAsia" w:ascii="楷体_GB2312" w:hAnsi="楷体_GB2312" w:eastAsia="楷体_GB2312"/>
                <w:color w:val="000000" w:themeColor="text1"/>
                <w:sz w:val="30"/>
                <w:szCs w:val="30"/>
              </w:rPr>
              <w:t>“一个中枢系统”，作为连接“城市大脑”各子系统的信息交互中心；</w:t>
            </w:r>
          </w:p>
          <w:p>
            <w:pPr>
              <w:pStyle w:val="2"/>
              <w:spacing w:after="0" w:line="520" w:lineRule="exact"/>
              <w:ind w:firstLine="600" w:firstLineChars="200"/>
              <w:rPr>
                <w:rFonts w:ascii="楷体_GB2312" w:hAnsi="楷体_GB2312" w:eastAsia="楷体_GB2312"/>
                <w:color w:val="000000" w:themeColor="text1"/>
                <w:sz w:val="30"/>
                <w:szCs w:val="30"/>
              </w:rPr>
            </w:pPr>
            <w:r>
              <w:rPr>
                <w:rFonts w:hint="eastAsia" w:ascii="楷体_GB2312" w:hAnsi="楷体_GB2312" w:eastAsia="楷体_GB2312"/>
                <w:color w:val="000000" w:themeColor="text1"/>
                <w:sz w:val="30"/>
                <w:szCs w:val="30"/>
              </w:rPr>
              <w:t>“一个工具箱”，统一提供可信身份认证、电子签章、搜索引擎、计算机视觉、智能语音交互等标准化公共组件；</w:t>
            </w:r>
          </w:p>
          <w:p>
            <w:pPr>
              <w:pStyle w:val="2"/>
              <w:spacing w:after="0" w:line="520" w:lineRule="exact"/>
              <w:ind w:firstLine="600" w:firstLineChars="200"/>
              <w:rPr>
                <w:color w:val="000000" w:themeColor="text1"/>
              </w:rPr>
            </w:pPr>
            <w:r>
              <w:rPr>
                <w:rFonts w:hint="eastAsia" w:ascii="楷体_GB2312" w:hAnsi="楷体_GB2312" w:eastAsia="楷体_GB2312"/>
                <w:color w:val="000000" w:themeColor="text1"/>
                <w:sz w:val="30"/>
                <w:szCs w:val="30"/>
              </w:rPr>
              <w:t>“一套安全体系”，建设“软硬结合、点线面兼顾、多维防护”的安全防护保障体系；</w:t>
            </w:r>
          </w:p>
          <w:p>
            <w:pPr>
              <w:pStyle w:val="2"/>
              <w:spacing w:after="0" w:line="520" w:lineRule="exact"/>
              <w:ind w:firstLine="602" w:firstLineChars="200"/>
              <w:rPr>
                <w:color w:val="000000" w:themeColor="text1"/>
              </w:rPr>
            </w:pPr>
            <w:r>
              <w:rPr>
                <w:rFonts w:eastAsia="楷体_GB2312"/>
                <w:b/>
                <w:bCs/>
                <w:color w:val="000000" w:themeColor="text1"/>
                <w:sz w:val="30"/>
                <w:szCs w:val="30"/>
              </w:rPr>
              <w:t>10大重点板块应用：</w:t>
            </w:r>
            <w:r>
              <w:rPr>
                <w:rFonts w:hint="eastAsia" w:ascii="楷体_GB2312" w:hAnsi="楷体_GB2312" w:eastAsia="楷体_GB2312"/>
                <w:color w:val="000000" w:themeColor="text1"/>
                <w:sz w:val="30"/>
                <w:szCs w:val="30"/>
              </w:rPr>
              <w:t>先行推进“城市大脑”在经济运行、政务服务、社会治理、医疗、教育、康养、社区治理、社保、交通、文旅等</w:t>
            </w:r>
            <w:r>
              <w:rPr>
                <w:rFonts w:eastAsia="楷体_GB2312"/>
                <w:color w:val="000000" w:themeColor="text1"/>
                <w:sz w:val="30"/>
                <w:szCs w:val="30"/>
              </w:rPr>
              <w:t>10个重</w:t>
            </w:r>
            <w:r>
              <w:rPr>
                <w:rFonts w:hint="eastAsia" w:ascii="楷体_GB2312" w:hAnsi="楷体_GB2312" w:eastAsia="楷体_GB2312"/>
                <w:color w:val="000000" w:themeColor="text1"/>
                <w:sz w:val="30"/>
                <w:szCs w:val="30"/>
              </w:rPr>
              <w:t>点板块应用，并逐步拓展至其他领域。</w:t>
            </w:r>
          </w:p>
        </w:tc>
      </w:tr>
    </w:tbl>
    <w:p>
      <w:pPr>
        <w:pStyle w:val="5"/>
        <w:keepNext w:val="0"/>
        <w:keepLines w:val="0"/>
        <w:adjustRightInd w:val="0"/>
        <w:snapToGrid w:val="0"/>
        <w:spacing w:before="0" w:after="0" w:line="600" w:lineRule="exact"/>
        <w:ind w:firstLine="643"/>
        <w:jc w:val="both"/>
        <w:rPr>
          <w:rFonts w:ascii="楷体_GB2312" w:hAnsi="楷体_GB2312" w:cs="方正楷体_GBK"/>
          <w:bCs w:val="0"/>
          <w:color w:val="000000" w:themeColor="text1"/>
          <w:kern w:val="21"/>
        </w:rPr>
      </w:pPr>
      <w:bookmarkStart w:id="49" w:name="_Toc93409994"/>
      <w:r>
        <w:rPr>
          <w:rFonts w:hint="eastAsia" w:ascii="楷体_GB2312" w:hAnsi="楷体_GB2312" w:cs="方正楷体_GBK"/>
          <w:bCs w:val="0"/>
          <w:color w:val="000000" w:themeColor="text1"/>
          <w:kern w:val="21"/>
        </w:rPr>
        <w:t>（三）奋力强产业提效益，加快发展数字经济</w:t>
      </w:r>
      <w:bookmarkEnd w:id="49"/>
    </w:p>
    <w:p>
      <w:pPr>
        <w:pStyle w:val="33"/>
        <w:spacing w:before="0" w:after="0" w:line="600" w:lineRule="exact"/>
        <w:ind w:firstLine="680" w:firstLineChars="200"/>
        <w:jc w:val="both"/>
        <w:rPr>
          <w:rFonts w:ascii="仿宋_GB2312" w:eastAsia="仿宋_GB2312"/>
          <w:bCs w:val="0"/>
          <w:color w:val="000000" w:themeColor="text1"/>
          <w:sz w:val="32"/>
          <w:szCs w:val="32"/>
        </w:rPr>
      </w:pPr>
      <w:r>
        <w:rPr>
          <w:rFonts w:hint="eastAsia" w:ascii="仿宋_GB2312" w:eastAsia="仿宋_GB2312"/>
          <w:bCs w:val="0"/>
          <w:color w:val="000000" w:themeColor="text1"/>
          <w:sz w:val="32"/>
          <w:szCs w:val="32"/>
        </w:rPr>
        <w:t>基于玉林制造业和轻工业“</w:t>
      </w:r>
      <w:r>
        <w:rPr>
          <w:rFonts w:eastAsia="仿宋_GB2312"/>
          <w:bCs w:val="0"/>
          <w:color w:val="000000" w:themeColor="text1"/>
          <w:sz w:val="32"/>
          <w:szCs w:val="32"/>
        </w:rPr>
        <w:t>5+6</w:t>
      </w:r>
      <w:r>
        <w:rPr>
          <w:rFonts w:hint="eastAsia" w:ascii="仿宋_GB2312" w:eastAsia="仿宋_GB2312"/>
          <w:bCs w:val="0"/>
          <w:color w:val="000000" w:themeColor="text1"/>
          <w:sz w:val="32"/>
          <w:szCs w:val="32"/>
        </w:rPr>
        <w:t>”产业链，聚焦企业全生命周期，全链条优化营商环境，形成“三产互动、智慧融合、集群创新”的产业经济发展模式，推动数字经济和实体经济深度融合，加快数字产业化发展，推动产业数字化转型，加快形成数字产业化和产业数字化双动力支柱，构建“产业+配套、平台+生态、技术+赋能”的数字产业生态。</w:t>
      </w:r>
    </w:p>
    <w:p>
      <w:pPr>
        <w:pStyle w:val="6"/>
        <w:spacing w:before="0" w:after="0" w:line="600" w:lineRule="exact"/>
        <w:ind w:firstLine="643" w:firstLineChars="200"/>
        <w:rPr>
          <w:rFonts w:eastAsia="楷体_GB2312"/>
          <w:color w:val="000000" w:themeColor="text1"/>
        </w:rPr>
      </w:pPr>
      <w:bookmarkStart w:id="50" w:name="_Toc93409995"/>
      <w:r>
        <w:rPr>
          <w:rFonts w:eastAsia="楷体_GB2312"/>
          <w:color w:val="000000" w:themeColor="text1"/>
        </w:rPr>
        <w:t>1.提升经济智治水平</w:t>
      </w:r>
      <w:bookmarkEnd w:id="50"/>
    </w:p>
    <w:p>
      <w:pPr>
        <w:pStyle w:val="33"/>
        <w:spacing w:before="0" w:after="0" w:line="600" w:lineRule="exact"/>
        <w:ind w:firstLine="640" w:firstLineChars="200"/>
        <w:jc w:val="both"/>
        <w:rPr>
          <w:rFonts w:ascii="仿宋_GB2312" w:eastAsia="仿宋_GB2312"/>
          <w:bCs w:val="0"/>
          <w:color w:val="000000" w:themeColor="text1"/>
          <w:sz w:val="32"/>
          <w:szCs w:val="32"/>
        </w:rPr>
      </w:pPr>
      <w:r>
        <w:rPr>
          <w:rFonts w:hint="eastAsia" w:ascii="仿宋_GB2312" w:eastAsia="仿宋_GB2312"/>
          <w:bCs w:val="0"/>
          <w:color w:val="000000" w:themeColor="text1"/>
          <w:spacing w:val="0"/>
          <w:kern w:val="2"/>
          <w:sz w:val="32"/>
          <w:szCs w:val="32"/>
        </w:rPr>
        <w:t>结合大湾区产业平台建设，打造</w:t>
      </w:r>
      <w:r>
        <w:rPr>
          <w:rFonts w:hint="eastAsia" w:ascii="黑体" w:hAnsi="黑体" w:eastAsia="黑体"/>
          <w:bCs w:val="0"/>
          <w:color w:val="000000" w:themeColor="text1"/>
          <w:spacing w:val="0"/>
          <w:kern w:val="2"/>
          <w:sz w:val="32"/>
          <w:szCs w:val="32"/>
        </w:rPr>
        <w:t>“产业大脑”</w:t>
      </w:r>
      <w:r>
        <w:rPr>
          <w:rFonts w:ascii="仿宋_GB2312" w:eastAsia="仿宋_GB2312"/>
          <w:bCs w:val="0"/>
          <w:color w:val="000000" w:themeColor="text1"/>
          <w:spacing w:val="0"/>
          <w:kern w:val="2"/>
          <w:sz w:val="32"/>
          <w:szCs w:val="32"/>
        </w:rPr>
        <w:t>，贯通政府侧和市场侧、生产端和消费端，</w:t>
      </w:r>
      <w:r>
        <w:rPr>
          <w:rFonts w:hint="eastAsia" w:ascii="仿宋_GB2312" w:eastAsia="仿宋_GB2312"/>
          <w:bCs w:val="0"/>
          <w:color w:val="000000" w:themeColor="text1"/>
          <w:spacing w:val="0"/>
          <w:kern w:val="2"/>
          <w:sz w:val="32"/>
          <w:szCs w:val="32"/>
        </w:rPr>
        <w:t>聚焦数字产业化和产业数字化，加快资源要素、数字贸易、科技创新等建设,</w:t>
      </w:r>
      <w:r>
        <w:rPr>
          <w:rFonts w:ascii="仿宋_GB2312" w:eastAsia="仿宋_GB2312"/>
          <w:bCs w:val="0"/>
          <w:color w:val="000000" w:themeColor="text1"/>
          <w:spacing w:val="0"/>
          <w:kern w:val="2"/>
          <w:sz w:val="32"/>
          <w:szCs w:val="32"/>
        </w:rPr>
        <w:t>构</w:t>
      </w:r>
      <w:r>
        <w:rPr>
          <w:rFonts w:hint="eastAsia" w:ascii="仿宋_GB2312" w:eastAsia="仿宋_GB2312"/>
          <w:bCs w:val="0"/>
          <w:color w:val="000000" w:themeColor="text1"/>
          <w:spacing w:val="0"/>
          <w:kern w:val="2"/>
          <w:sz w:val="32"/>
          <w:szCs w:val="32"/>
        </w:rPr>
        <w:t>建“智能化管理、智慧化服务、数据化决策”流</w:t>
      </w:r>
      <w:r>
        <w:rPr>
          <w:rFonts w:ascii="仿宋_GB2312" w:eastAsia="仿宋_GB2312"/>
          <w:bCs w:val="0"/>
          <w:color w:val="000000" w:themeColor="text1"/>
          <w:spacing w:val="0"/>
          <w:kern w:val="2"/>
          <w:sz w:val="32"/>
          <w:szCs w:val="32"/>
        </w:rPr>
        <w:t>程架构，建设企业智判、产业智研、资源智配、政策智定等综合应用</w:t>
      </w:r>
      <w:r>
        <w:rPr>
          <w:rFonts w:hint="eastAsia" w:ascii="仿宋_GB2312" w:eastAsia="仿宋_GB2312"/>
          <w:bCs w:val="0"/>
          <w:color w:val="000000" w:themeColor="text1"/>
          <w:spacing w:val="0"/>
          <w:kern w:val="2"/>
          <w:sz w:val="32"/>
          <w:szCs w:val="32"/>
        </w:rPr>
        <w:t>。重点围绕“</w:t>
      </w:r>
      <w:r>
        <w:rPr>
          <w:rFonts w:eastAsia="仿宋_GB2312"/>
          <w:bCs w:val="0"/>
          <w:color w:val="000000" w:themeColor="text1"/>
          <w:spacing w:val="0"/>
          <w:kern w:val="2"/>
          <w:sz w:val="32"/>
          <w:szCs w:val="32"/>
        </w:rPr>
        <w:t>5+6</w:t>
      </w:r>
      <w:r>
        <w:rPr>
          <w:rFonts w:hint="eastAsia" w:ascii="仿宋_GB2312" w:eastAsia="仿宋_GB2312"/>
          <w:bCs w:val="0"/>
          <w:color w:val="000000" w:themeColor="text1"/>
          <w:spacing w:val="0"/>
          <w:kern w:val="2"/>
          <w:sz w:val="32"/>
          <w:szCs w:val="32"/>
        </w:rPr>
        <w:t>”产业链，加快壮大“工业树”、繁茂“产业林”，探索构建“</w:t>
      </w:r>
      <w:r>
        <w:rPr>
          <w:rFonts w:eastAsia="仿宋_GB2312"/>
          <w:bCs w:val="0"/>
          <w:color w:val="000000" w:themeColor="text1"/>
          <w:spacing w:val="0"/>
          <w:kern w:val="2"/>
          <w:sz w:val="32"/>
          <w:szCs w:val="32"/>
        </w:rPr>
        <w:t>行业SPAN图+</w:t>
      </w:r>
      <w:r>
        <w:rPr>
          <w:rFonts w:hint="eastAsia" w:eastAsia="仿宋_GB2312"/>
          <w:bCs w:val="0"/>
          <w:color w:val="000000" w:themeColor="text1"/>
          <w:spacing w:val="0"/>
          <w:kern w:val="2"/>
          <w:sz w:val="32"/>
          <w:szCs w:val="32"/>
        </w:rPr>
        <w:t>产业</w:t>
      </w:r>
      <w:r>
        <w:rPr>
          <w:rFonts w:eastAsia="仿宋_GB2312"/>
          <w:bCs w:val="0"/>
          <w:color w:val="000000" w:themeColor="text1"/>
          <w:spacing w:val="0"/>
          <w:kern w:val="2"/>
          <w:sz w:val="32"/>
          <w:szCs w:val="32"/>
        </w:rPr>
        <w:t>雷达图</w:t>
      </w:r>
      <w:r>
        <w:rPr>
          <w:rFonts w:hint="eastAsia" w:ascii="仿宋_GB2312" w:eastAsia="仿宋_GB2312"/>
          <w:bCs w:val="0"/>
          <w:color w:val="000000" w:themeColor="text1"/>
          <w:spacing w:val="0"/>
          <w:kern w:val="2"/>
          <w:sz w:val="32"/>
          <w:szCs w:val="32"/>
        </w:rPr>
        <w:t>”，打造全要素、全产业链、全价值链全面连接的数字经济运行系统，实现政府侧产业选择、产业治理应用场景闭环，提升政府治理能力。</w:t>
      </w:r>
    </w:p>
    <w:p>
      <w:pPr>
        <w:pStyle w:val="6"/>
        <w:spacing w:before="0" w:after="0" w:line="600" w:lineRule="exact"/>
        <w:ind w:firstLine="643" w:firstLineChars="200"/>
        <w:rPr>
          <w:rFonts w:eastAsia="楷体_GB2312"/>
          <w:color w:val="000000" w:themeColor="text1"/>
        </w:rPr>
      </w:pPr>
      <w:bookmarkStart w:id="51" w:name="_Toc93409996"/>
      <w:r>
        <w:rPr>
          <w:rFonts w:eastAsia="楷体_GB2312"/>
          <w:color w:val="000000" w:themeColor="text1"/>
        </w:rPr>
        <w:t>2.</w:t>
      </w:r>
      <w:r>
        <w:rPr>
          <w:rFonts w:hint="eastAsia" w:eastAsia="楷体_GB2312"/>
          <w:color w:val="000000" w:themeColor="text1"/>
        </w:rPr>
        <w:t>壮大数字经济核心产业</w:t>
      </w:r>
      <w:bookmarkEnd w:id="51"/>
    </w:p>
    <w:p>
      <w:pPr>
        <w:pStyle w:val="33"/>
        <w:spacing w:before="0" w:after="0" w:line="600" w:lineRule="exact"/>
        <w:ind w:firstLine="680" w:firstLineChars="200"/>
        <w:jc w:val="both"/>
        <w:rPr>
          <w:rFonts w:ascii="仿宋_GB2312" w:eastAsia="仿宋_GB2312"/>
          <w:bCs w:val="0"/>
          <w:color w:val="000000" w:themeColor="text1"/>
          <w:sz w:val="32"/>
          <w:szCs w:val="32"/>
        </w:rPr>
      </w:pPr>
      <w:r>
        <w:rPr>
          <w:rFonts w:hint="eastAsia" w:ascii="仿宋_GB2312" w:eastAsia="仿宋_GB2312"/>
          <w:bCs w:val="0"/>
          <w:color w:val="000000" w:themeColor="text1"/>
          <w:sz w:val="32"/>
          <w:szCs w:val="32"/>
        </w:rPr>
        <w:t>结合玉林数字产业以及产业数字化发展实际，</w:t>
      </w:r>
      <w:r>
        <w:rPr>
          <w:rFonts w:hint="eastAsia" w:ascii="黑体" w:hAnsi="黑体" w:eastAsia="黑体"/>
          <w:bCs w:val="0"/>
          <w:color w:val="000000" w:themeColor="text1"/>
          <w:sz w:val="32"/>
          <w:szCs w:val="32"/>
        </w:rPr>
        <w:t>谋划新兴产业发展“施工图”</w:t>
      </w:r>
      <w:r>
        <w:rPr>
          <w:rFonts w:hint="eastAsia" w:ascii="仿宋_GB2312" w:eastAsia="仿宋_GB2312"/>
          <w:bCs w:val="0"/>
          <w:color w:val="000000" w:themeColor="text1"/>
          <w:sz w:val="32"/>
          <w:szCs w:val="32"/>
        </w:rPr>
        <w:t>，加速推动全生产要素良性循环，推动数字经济、新兴产业良性发展。做大做强数字产业链，积极发挥政策引导和市场主导作用，以产业图谱为引导，引进一批标志性、引领性的优质企业、重大项目，培育一批上下游互为场景、产业链衔接畅通的产业集群。在智能制造、集成</w:t>
      </w:r>
      <w:r>
        <w:rPr>
          <w:rFonts w:eastAsia="仿宋_GB2312"/>
          <w:bCs w:val="0"/>
          <w:color w:val="000000" w:themeColor="text1"/>
          <w:sz w:val="32"/>
          <w:szCs w:val="32"/>
        </w:rPr>
        <w:t>电路、</w:t>
      </w:r>
      <w:r>
        <w:rPr>
          <w:rFonts w:hint="eastAsia" w:eastAsia="仿宋_GB2312"/>
          <w:bCs w:val="0"/>
          <w:color w:val="000000" w:themeColor="text1"/>
          <w:sz w:val="32"/>
          <w:szCs w:val="32"/>
        </w:rPr>
        <w:t>智能网联汽车</w:t>
      </w:r>
      <w:r>
        <w:rPr>
          <w:rFonts w:hint="eastAsia" w:ascii="仿宋_GB2312" w:eastAsia="仿宋_GB2312"/>
          <w:bCs w:val="0"/>
          <w:color w:val="000000" w:themeColor="text1"/>
          <w:sz w:val="32"/>
          <w:szCs w:val="32"/>
        </w:rPr>
        <w:t>、大数据、软件信息技术、</w:t>
      </w:r>
      <w:r>
        <w:rPr>
          <w:rFonts w:eastAsia="仿宋_GB2312"/>
          <w:bCs w:val="0"/>
          <w:color w:val="000000" w:themeColor="text1"/>
          <w:sz w:val="32"/>
          <w:szCs w:val="32"/>
        </w:rPr>
        <w:t>5G</w:t>
      </w:r>
      <w:r>
        <w:rPr>
          <w:rFonts w:hint="eastAsia" w:ascii="仿宋_GB2312" w:eastAsia="仿宋_GB2312"/>
          <w:bCs w:val="0"/>
          <w:color w:val="000000" w:themeColor="text1"/>
          <w:sz w:val="32"/>
          <w:szCs w:val="32"/>
        </w:rPr>
        <w:t>等重点领域培育和招引一批专、精、特、新型企业，积极构建产业生态圈，着力发展丰富一批面向新兴业态与跨界创新的市场主体。</w:t>
      </w:r>
    </w:p>
    <w:p>
      <w:pPr>
        <w:spacing w:line="600" w:lineRule="exact"/>
        <w:ind w:firstLine="643"/>
        <w:rPr>
          <w:rFonts w:ascii="方正仿宋_GBK" w:hAnsi="仿宋" w:eastAsia="方正仿宋_GBK"/>
          <w:color w:val="000000" w:themeColor="text1"/>
          <w:sz w:val="32"/>
          <w:szCs w:val="48"/>
        </w:rPr>
      </w:pPr>
      <w:r>
        <w:rPr>
          <w:rFonts w:hint="eastAsia" w:ascii="方正楷体_GBK" w:eastAsia="方正楷体_GBK"/>
          <w:b/>
          <w:bCs/>
          <w:color w:val="000000" w:themeColor="text1"/>
          <w:sz w:val="32"/>
          <w:szCs w:val="48"/>
          <w:shd w:val="clear" w:color="auto" w:fill="FFFFFF"/>
        </w:rPr>
        <w:t>智能制造。</w:t>
      </w:r>
      <w:r>
        <w:rPr>
          <w:rFonts w:hint="eastAsia" w:ascii="仿宋_GB2312" w:hAnsi="黑体" w:eastAsia="仿宋_GB2312"/>
          <w:color w:val="000000" w:themeColor="text1"/>
          <w:sz w:val="32"/>
          <w:szCs w:val="32"/>
        </w:rPr>
        <w:t>深化“互联网+先进制造”，积极融入自治区“芯空屏端网”数字制</w:t>
      </w:r>
      <w:r>
        <w:rPr>
          <w:rFonts w:hint="eastAsia" w:ascii="方正仿宋_GBK" w:hAnsi="黑体" w:eastAsia="方正仿宋_GBK"/>
          <w:color w:val="000000" w:themeColor="text1"/>
          <w:sz w:val="32"/>
          <w:szCs w:val="32"/>
        </w:rPr>
        <w:t>造产业链，</w:t>
      </w:r>
      <w:r>
        <w:rPr>
          <w:rFonts w:hint="eastAsia" w:ascii="仿宋_GB2312" w:hAnsi="仿宋" w:eastAsia="仿宋_GB2312"/>
          <w:color w:val="000000" w:themeColor="text1"/>
          <w:sz w:val="32"/>
          <w:szCs w:val="32"/>
        </w:rPr>
        <w:t>以智能装备制造带动装备制造业转型升级为突破口，</w:t>
      </w:r>
      <w:r>
        <w:rPr>
          <w:rFonts w:hint="eastAsia" w:ascii="黑体" w:hAnsi="黑体" w:eastAsia="黑体"/>
          <w:color w:val="000000" w:themeColor="text1"/>
          <w:sz w:val="32"/>
          <w:szCs w:val="32"/>
        </w:rPr>
        <w:t>结合玉林先进装备制造产业链，</w:t>
      </w:r>
      <w:r>
        <w:rPr>
          <w:rFonts w:hint="eastAsia" w:ascii="仿宋_GB2312" w:eastAsia="仿宋_GB2312"/>
          <w:color w:val="000000" w:themeColor="text1"/>
          <w:sz w:val="32"/>
          <w:szCs w:val="32"/>
        </w:rPr>
        <w:t>与大湾区等发达地区科研机构和龙头企业在发动机、人工智能设备、通用航空器等领域开展研发合作，强化研发生产能力，促进“玉林制造”向“玉林智造”转型升级。加快推进广西先进装备制造城（玉林）、玉林高新技术产业开发区、容县电子信息产业园和广西（北流）轻工产业园建设，深化产业合作，</w:t>
      </w:r>
      <w:r>
        <w:rPr>
          <w:rFonts w:hint="eastAsia" w:ascii="仿宋_GB2312" w:hAnsi="仿宋" w:eastAsia="仿宋_GB2312"/>
          <w:color w:val="000000" w:themeColor="text1"/>
          <w:sz w:val="32"/>
          <w:szCs w:val="32"/>
        </w:rPr>
        <w:t>重点加快成套化、精密化、智能化转型步伐，不断提升总集成总承包能力、系统解决方案供给能力，大力推广数控技术、传感器技术、工业机器人等先进制造技术。重点发展内燃机、农业机械、木工机械、制冷设备、医疗器械、食品制药装备、智能纺织印染装备、高精度铜箔装备、新能源材料装备、工业机器人、</w:t>
      </w:r>
      <w:r>
        <w:rPr>
          <w:rFonts w:ascii="仿宋_GB2312" w:hAnsi="仿宋" w:eastAsia="仿宋_GB2312"/>
          <w:color w:val="000000" w:themeColor="text1"/>
          <w:sz w:val="32"/>
          <w:szCs w:val="32"/>
        </w:rPr>
        <w:t>低压电器电机</w:t>
      </w:r>
      <w:r>
        <w:rPr>
          <w:rFonts w:hint="eastAsia" w:ascii="仿宋_GB2312" w:hAnsi="仿宋" w:eastAsia="仿宋_GB2312"/>
          <w:color w:val="000000" w:themeColor="text1"/>
          <w:sz w:val="32"/>
          <w:szCs w:val="32"/>
        </w:rPr>
        <w:t>设备、精密控制线缆、电机马达等高端智能装备产品。</w:t>
      </w:r>
      <w:r>
        <w:rPr>
          <w:rFonts w:ascii="仿宋_GB2312" w:hAnsi="仿宋" w:eastAsia="仿宋_GB2312"/>
          <w:color w:val="000000" w:themeColor="text1"/>
          <w:sz w:val="32"/>
          <w:szCs w:val="32"/>
        </w:rPr>
        <w:t>加快推进广西先进装备制造城（玉林）建设</w:t>
      </w:r>
      <w:r>
        <w:rPr>
          <w:rFonts w:hint="eastAsia" w:ascii="仿宋_GB2312" w:hAnsi="仿宋" w:eastAsia="仿宋_GB2312"/>
          <w:color w:val="000000" w:themeColor="text1"/>
          <w:sz w:val="32"/>
          <w:szCs w:val="32"/>
        </w:rPr>
        <w:t>，</w:t>
      </w:r>
      <w:r>
        <w:rPr>
          <w:rFonts w:hint="eastAsia" w:ascii="仿宋_GB2312" w:hAnsi="仿宋_GB2312" w:eastAsia="仿宋_GB2312"/>
          <w:color w:val="000000" w:themeColor="text1"/>
          <w:sz w:val="32"/>
          <w:szCs w:val="32"/>
        </w:rPr>
        <w:t>积极引进显示器、显示器模组、显卡、内存、硬盘、电源等智能终端关键电子元器件项目。大力承接电子元器件、线缆、电子数据线、电脑周边产品、锂离子电芯、汽车电控系统等粤港澳大湾区外溢产业。</w:t>
      </w:r>
    </w:p>
    <w:p>
      <w:pPr>
        <w:pStyle w:val="33"/>
        <w:spacing w:before="0" w:after="0" w:line="600" w:lineRule="exact"/>
        <w:ind w:firstLine="680" w:firstLineChars="200"/>
        <w:jc w:val="both"/>
        <w:rPr>
          <w:rFonts w:ascii="仿宋_GB2312" w:eastAsia="仿宋_GB2312"/>
          <w:bCs w:val="0"/>
          <w:color w:val="000000" w:themeColor="text1"/>
          <w:spacing w:val="0"/>
          <w:kern w:val="2"/>
          <w:sz w:val="32"/>
          <w:szCs w:val="32"/>
        </w:rPr>
      </w:pPr>
      <w:r>
        <w:rPr>
          <w:rFonts w:hint="eastAsia" w:ascii="方正楷体_GBK" w:eastAsia="方正楷体_GBK"/>
          <w:b/>
          <w:color w:val="000000" w:themeColor="text1"/>
          <w:sz w:val="32"/>
          <w:szCs w:val="32"/>
        </w:rPr>
        <w:t>新能源汽车。</w:t>
      </w:r>
      <w:r>
        <w:rPr>
          <w:rFonts w:hint="eastAsia" w:ascii="仿宋_GB2312" w:eastAsia="仿宋_GB2312"/>
          <w:bCs w:val="0"/>
          <w:color w:val="000000" w:themeColor="text1"/>
          <w:sz w:val="32"/>
          <w:szCs w:val="32"/>
        </w:rPr>
        <w:t>依托玉林新能源汽车和三电（电池、电动机、电控系统）核心零部件的技术优势，顺应软件定义汽车、芯片制造汽车、数据开发汽车等行业趋势，强化车辆控制软件、车规级芯片等技术的研发应用，突出发展新能源及智能网联汽车。重点鼓励车载软件系统、车载显示终端、车载超算平台、动力电池及管理控制系统等产品创新与应用，提升配套水平。</w:t>
      </w:r>
      <w:r>
        <w:rPr>
          <w:rFonts w:hint="eastAsia" w:ascii="黑体" w:hAnsi="黑体" w:eastAsia="黑体"/>
          <w:bCs w:val="0"/>
          <w:color w:val="000000" w:themeColor="text1"/>
          <w:spacing w:val="0"/>
          <w:kern w:val="2"/>
          <w:sz w:val="32"/>
          <w:szCs w:val="32"/>
        </w:rPr>
        <w:t>重点支持玉柴集团新能源电力产业围绕“新能源”战略主线，</w:t>
      </w:r>
      <w:r>
        <w:rPr>
          <w:rFonts w:hint="eastAsia" w:ascii="仿宋_GB2312" w:eastAsia="仿宋_GB2312"/>
          <w:bCs w:val="0"/>
          <w:color w:val="000000" w:themeColor="text1"/>
          <w:spacing w:val="0"/>
          <w:kern w:val="2"/>
          <w:sz w:val="32"/>
          <w:szCs w:val="32"/>
        </w:rPr>
        <w:t>做好现有光伏电站发展，投资建设发电新项目，探索发展新能源业务，开发新能源动力系统、电驱动系统、燃料电池等新能源汽车核心零部件产品。支持玉柴集团拓展“光＋储＋充”充电桩及换电站业务，打造综合性汽车生产企业，构建新能源汽车产业链。</w:t>
      </w:r>
    </w:p>
    <w:p>
      <w:pPr>
        <w:spacing w:line="600" w:lineRule="exact"/>
        <w:ind w:firstLine="643"/>
        <w:rPr>
          <w:rFonts w:eastAsia="方正仿宋_GBK"/>
          <w:color w:val="000000" w:themeColor="text1"/>
          <w:sz w:val="32"/>
          <w:szCs w:val="32"/>
        </w:rPr>
      </w:pPr>
      <w:r>
        <w:rPr>
          <w:rFonts w:hint="eastAsia" w:ascii="方正楷体_GBK" w:hAnsi="楷体_GB2312" w:eastAsia="方正楷体_GBK" w:cs="楷体_GB2312"/>
          <w:b/>
          <w:bCs/>
          <w:color w:val="000000" w:themeColor="text1"/>
          <w:sz w:val="32"/>
          <w:szCs w:val="32"/>
        </w:rPr>
        <w:t>大数据。</w:t>
      </w:r>
      <w:r>
        <w:rPr>
          <w:rFonts w:hint="eastAsia" w:ascii="黑体" w:hAnsi="黑体" w:eastAsia="黑体" w:cs="楷体_GB2312"/>
          <w:color w:val="000000" w:themeColor="text1"/>
          <w:sz w:val="32"/>
          <w:szCs w:val="32"/>
        </w:rPr>
        <w:t>加强产业发展引导，</w:t>
      </w:r>
      <w:r>
        <w:rPr>
          <w:rFonts w:hint="eastAsia" w:ascii="仿宋_GB2312" w:eastAsia="仿宋_GB2312"/>
          <w:color w:val="000000" w:themeColor="text1"/>
          <w:sz w:val="32"/>
          <w:szCs w:val="32"/>
        </w:rPr>
        <w:t>围绕数据存储、分析、应用和终端产品制造等大数据产业链环节，实施一批重大产业项目，引进、培育一批大数据龙头企业和创新型中小企业,形成多层次、梯队化的创新主体。重点突破海量数据存储与管理、数据清洗、数据可视化、分析挖掘和人工智能等核心技术;重点发展工业领域和金融、交通、医疗、教育等重点行业云平台和大数据解决方案，推进交互共享、一体化的数据服务模式，促进大数据技术成果惠及民生;重点针对先进装备制造、先进新材料、大健康产业以及汽车及零部件产业、新能源及智能网联汽车等具有迫切需求的行业，开展大数据行业应用研发。支持市内高校、科研机构、骨干企业协同推进先进计算科研攻关，创新和推广“数据、平台、应用、终端”四位一体的新型产业发展形态。</w:t>
      </w:r>
      <w:r>
        <w:rPr>
          <w:rFonts w:hint="eastAsia" w:ascii="黑体" w:hAnsi="黑体" w:eastAsia="黑体"/>
          <w:color w:val="000000" w:themeColor="text1"/>
          <w:sz w:val="32"/>
          <w:szCs w:val="32"/>
        </w:rPr>
        <w:t>打造产业发展集聚区，</w:t>
      </w:r>
      <w:r>
        <w:rPr>
          <w:rFonts w:hint="eastAsia" w:ascii="仿宋_GB2312" w:eastAsia="仿宋_GB2312"/>
          <w:color w:val="000000" w:themeColor="text1"/>
          <w:sz w:val="32"/>
          <w:szCs w:val="32"/>
        </w:rPr>
        <w:t>加快推进玉林大数据生态产业园、玉林孪生计算与大数据云服务中心、玉林市公共安全大数据中心等重点新型基础设施建设，打造大数据存储、算力、应用、孵化“四大中心”,集成智慧服务、创新平台、数据交易“三大服务体系”，到</w:t>
      </w:r>
      <w:r>
        <w:rPr>
          <w:rFonts w:eastAsia="仿宋_GB2312"/>
          <w:color w:val="000000" w:themeColor="text1"/>
          <w:sz w:val="32"/>
          <w:szCs w:val="32"/>
        </w:rPr>
        <w:t>2025年</w:t>
      </w:r>
      <w:r>
        <w:rPr>
          <w:rFonts w:hint="eastAsia" w:ascii="仿宋_GB2312" w:eastAsia="仿宋_GB2312"/>
          <w:color w:val="000000" w:themeColor="text1"/>
          <w:sz w:val="32"/>
          <w:szCs w:val="32"/>
        </w:rPr>
        <w:t>，形成完善的大数据、云计算产业链，打造北部湾地区重要信息港。</w:t>
      </w:r>
    </w:p>
    <w:p>
      <w:pPr>
        <w:spacing w:line="600" w:lineRule="exact"/>
        <w:ind w:firstLine="643"/>
        <w:rPr>
          <w:rFonts w:eastAsia="方正仿宋_GBK"/>
          <w:color w:val="000000" w:themeColor="text1"/>
          <w:sz w:val="32"/>
          <w:szCs w:val="32"/>
        </w:rPr>
      </w:pPr>
      <w:r>
        <w:rPr>
          <w:rFonts w:hint="eastAsia" w:ascii="方正楷体_GBK" w:hAnsi="楷体_GB2312" w:eastAsia="方正楷体_GBK" w:cs="楷体_GB2312"/>
          <w:b/>
          <w:bCs/>
          <w:color w:val="000000" w:themeColor="text1"/>
          <w:sz w:val="32"/>
          <w:szCs w:val="32"/>
        </w:rPr>
        <w:t>软件与信息技术。</w:t>
      </w:r>
      <w:r>
        <w:rPr>
          <w:rFonts w:hint="eastAsia" w:ascii="仿宋_GB2312" w:hAnsi="黑体" w:eastAsia="仿宋_GB2312"/>
          <w:color w:val="000000" w:themeColor="text1"/>
          <w:sz w:val="32"/>
          <w:szCs w:val="32"/>
          <w:shd w:val="clear" w:color="auto" w:fill="FFFFFF"/>
        </w:rPr>
        <w:t>聚焦重点领域、特色产业，</w:t>
      </w:r>
      <w:r>
        <w:rPr>
          <w:rFonts w:hint="eastAsia" w:ascii="仿宋_GB2312" w:eastAsia="仿宋_GB2312"/>
          <w:color w:val="000000" w:themeColor="text1"/>
          <w:sz w:val="32"/>
          <w:szCs w:val="32"/>
          <w:shd w:val="clear" w:color="auto" w:fill="FFFFFF"/>
        </w:rPr>
        <w:t>着重加强基础软件核心技术研发，支持开源软件开发和应用推广，发展基于开源模式的产业生态系统。</w:t>
      </w:r>
      <w:r>
        <w:rPr>
          <w:rFonts w:hint="eastAsia" w:ascii="黑体" w:hAnsi="黑体" w:eastAsia="黑体"/>
          <w:color w:val="000000" w:themeColor="text1"/>
          <w:sz w:val="32"/>
          <w:szCs w:val="32"/>
          <w:shd w:val="clear" w:color="auto" w:fill="FFFFFF"/>
        </w:rPr>
        <w:t>积极融入鲲鹏计算产业生态体系，</w:t>
      </w:r>
      <w:r>
        <w:rPr>
          <w:rFonts w:hint="eastAsia" w:ascii="仿宋_GB2312" w:eastAsia="仿宋_GB2312"/>
          <w:color w:val="000000" w:themeColor="text1"/>
          <w:sz w:val="32"/>
          <w:szCs w:val="32"/>
          <w:shd w:val="clear" w:color="auto" w:fill="FFFFFF"/>
        </w:rPr>
        <w:t>进一步深化与清华同方的战略合作，大力发展信创计算产业，开展信创产品研发、迁移和适配工作，培育发展具有自主知识产权的信创产品。实施“互联网+工业”行动，以产业链延伸为主攻方向，着重围绕先进装备制造、农产品加工、新材料、纺织服装、新型陶瓷、消费品轻工业等主导、特色产业的数字化转型升级，发展智能设计与仿真、制造物联与服务、工业数据处理等高端工业软件核心技术，开发自主可控的高端工业软件，重点推进计算机辅助设计、辅助制造和生产过程智能化管理系统等工业软件的开发应用，逐步形成工业软</w:t>
      </w:r>
      <w:r>
        <w:rPr>
          <w:rFonts w:eastAsia="仿宋_GB2312"/>
          <w:color w:val="000000" w:themeColor="text1"/>
          <w:sz w:val="32"/>
          <w:szCs w:val="32"/>
          <w:shd w:val="clear" w:color="auto" w:fill="FFFFFF"/>
        </w:rPr>
        <w:t>件开发、生产和服务体系。加强技术研发，推进基础软件、工业APP、云</w:t>
      </w:r>
      <w:r>
        <w:rPr>
          <w:rFonts w:hint="eastAsia" w:ascii="仿宋_GB2312" w:eastAsia="仿宋_GB2312"/>
          <w:color w:val="000000" w:themeColor="text1"/>
          <w:sz w:val="32"/>
          <w:szCs w:val="32"/>
          <w:shd w:val="clear" w:color="auto" w:fill="FFFFFF"/>
        </w:rPr>
        <w:t>服务、大数据、集成电路设计、嵌入式系统软件等共性关键技术攻关，提升软件和信息技术水平，进一步拓展软件助力疫情防控和复工复产、赋能智慧城市和智能制造的应用领域。</w:t>
      </w:r>
    </w:p>
    <w:p>
      <w:pPr>
        <w:spacing w:line="600" w:lineRule="exact"/>
        <w:ind w:firstLine="643"/>
        <w:rPr>
          <w:rFonts w:eastAsia="仿宋"/>
          <w:color w:val="000000" w:themeColor="text1"/>
          <w:sz w:val="32"/>
          <w:szCs w:val="48"/>
        </w:rPr>
      </w:pPr>
      <w:r>
        <w:rPr>
          <w:rFonts w:hint="eastAsia" w:eastAsia="楷体_GB2312"/>
          <w:b/>
          <w:bCs/>
          <w:color w:val="000000" w:themeColor="text1"/>
          <w:sz w:val="32"/>
          <w:szCs w:val="48"/>
        </w:rPr>
        <w:t>5</w:t>
      </w:r>
      <w:r>
        <w:rPr>
          <w:rFonts w:eastAsia="楷体_GB2312"/>
          <w:b/>
          <w:bCs/>
          <w:color w:val="000000" w:themeColor="text1"/>
          <w:sz w:val="32"/>
          <w:szCs w:val="48"/>
        </w:rPr>
        <w:t>G</w:t>
      </w:r>
      <w:r>
        <w:rPr>
          <w:rFonts w:hint="eastAsia" w:eastAsia="楷体_GB2312"/>
          <w:b/>
          <w:bCs/>
          <w:color w:val="000000" w:themeColor="text1"/>
          <w:sz w:val="32"/>
          <w:szCs w:val="48"/>
        </w:rPr>
        <w:t>。</w:t>
      </w:r>
      <w:r>
        <w:rPr>
          <w:rFonts w:eastAsia="黑体"/>
          <w:color w:val="000000" w:themeColor="text1"/>
          <w:sz w:val="32"/>
          <w:szCs w:val="48"/>
        </w:rPr>
        <w:t>提升5G技术研发实力，</w:t>
      </w:r>
      <w:r>
        <w:rPr>
          <w:rFonts w:eastAsia="仿宋_GB2312"/>
          <w:color w:val="000000" w:themeColor="text1"/>
          <w:sz w:val="32"/>
          <w:szCs w:val="48"/>
          <w:shd w:val="clear" w:color="auto" w:fill="FFFFFF"/>
        </w:rPr>
        <w:t>以新型基础设施建设为契机，</w:t>
      </w:r>
      <w:r>
        <w:rPr>
          <w:rFonts w:eastAsia="仿宋_GB2312"/>
          <w:color w:val="000000" w:themeColor="text1"/>
          <w:sz w:val="32"/>
          <w:szCs w:val="48"/>
        </w:rPr>
        <w:t>重点发展5G光通信、5G智能终端、5G基础材料、网络安全、软件开发与服务等产业，提升5G技术研发和场景应用水平</w:t>
      </w:r>
      <w:r>
        <w:rPr>
          <w:rFonts w:hint="eastAsia" w:eastAsia="仿宋_GB2312"/>
          <w:color w:val="000000" w:themeColor="text1"/>
          <w:sz w:val="32"/>
          <w:szCs w:val="48"/>
        </w:rPr>
        <w:t>，协同发展印制电路板（P</w:t>
      </w:r>
      <w:r>
        <w:rPr>
          <w:rFonts w:eastAsia="仿宋_GB2312"/>
          <w:color w:val="000000" w:themeColor="text1"/>
          <w:sz w:val="32"/>
          <w:szCs w:val="48"/>
        </w:rPr>
        <w:t>CB</w:t>
      </w:r>
      <w:r>
        <w:rPr>
          <w:rFonts w:hint="eastAsia" w:eastAsia="仿宋_GB2312"/>
          <w:color w:val="000000" w:themeColor="text1"/>
          <w:sz w:val="32"/>
          <w:szCs w:val="48"/>
        </w:rPr>
        <w:t>）、应用软件与智能终端，重点支持“5</w:t>
      </w:r>
      <w:r>
        <w:rPr>
          <w:rFonts w:eastAsia="仿宋_GB2312"/>
          <w:color w:val="000000" w:themeColor="text1"/>
          <w:sz w:val="32"/>
          <w:szCs w:val="48"/>
        </w:rPr>
        <w:t>G</w:t>
      </w:r>
      <w:r>
        <w:rPr>
          <w:rFonts w:hint="eastAsia" w:eastAsia="仿宋_GB2312"/>
          <w:color w:val="000000" w:themeColor="text1"/>
          <w:sz w:val="32"/>
          <w:szCs w:val="48"/>
        </w:rPr>
        <w:t>+”智能制造、自动驾驶、新型显示及超清视频等重点项目工程。</w:t>
      </w:r>
      <w:r>
        <w:rPr>
          <w:rFonts w:eastAsia="黑体"/>
          <w:color w:val="000000" w:themeColor="text1"/>
          <w:sz w:val="32"/>
          <w:szCs w:val="48"/>
        </w:rPr>
        <w:t>培育5G发展生态，</w:t>
      </w:r>
      <w:r>
        <w:rPr>
          <w:rFonts w:eastAsia="仿宋_GB2312"/>
          <w:color w:val="000000" w:themeColor="text1"/>
          <w:sz w:val="32"/>
          <w:szCs w:val="48"/>
        </w:rPr>
        <w:t>推动5G产业集聚发展，</w:t>
      </w:r>
      <w:r>
        <w:rPr>
          <w:rFonts w:hint="eastAsia" w:eastAsia="仿宋_GB2312"/>
          <w:color w:val="000000" w:themeColor="text1"/>
          <w:sz w:val="32"/>
          <w:szCs w:val="48"/>
        </w:rPr>
        <w:t>引导产业集聚度高、数字化基础好、升级改造意愿强烈、示范带动作用大的重点制造园区和优势特色行业骨干企业，共同创建面向行业的融合应用示范园区（标杆），</w:t>
      </w:r>
      <w:r>
        <w:rPr>
          <w:rFonts w:eastAsia="仿宋_GB2312"/>
          <w:color w:val="000000" w:themeColor="text1"/>
          <w:sz w:val="32"/>
          <w:szCs w:val="48"/>
        </w:rPr>
        <w:t>形成一批产业优势明显、创新能力突出的</w:t>
      </w:r>
      <w:r>
        <w:rPr>
          <w:rFonts w:hint="eastAsia" w:eastAsia="仿宋_GB2312"/>
          <w:color w:val="000000" w:themeColor="text1"/>
          <w:sz w:val="32"/>
          <w:szCs w:val="48"/>
        </w:rPr>
        <w:t>“</w:t>
      </w:r>
      <w:r>
        <w:rPr>
          <w:rFonts w:eastAsia="仿宋_GB2312"/>
          <w:color w:val="000000" w:themeColor="text1"/>
          <w:sz w:val="32"/>
          <w:szCs w:val="48"/>
        </w:rPr>
        <w:t>5G产业标杆集聚区</w:t>
      </w:r>
      <w:r>
        <w:rPr>
          <w:rFonts w:hint="eastAsia" w:eastAsia="仿宋_GB2312"/>
          <w:color w:val="000000" w:themeColor="text1"/>
          <w:sz w:val="32"/>
          <w:szCs w:val="48"/>
        </w:rPr>
        <w:t>”。</w:t>
      </w:r>
      <w:r>
        <w:rPr>
          <w:rFonts w:eastAsia="黑体"/>
          <w:color w:val="000000" w:themeColor="text1"/>
          <w:sz w:val="32"/>
          <w:szCs w:val="48"/>
        </w:rPr>
        <w:t>推进5G产业发展</w:t>
      </w:r>
      <w:r>
        <w:rPr>
          <w:rFonts w:hint="eastAsia" w:eastAsia="黑体"/>
          <w:color w:val="000000" w:themeColor="text1"/>
          <w:sz w:val="32"/>
          <w:szCs w:val="48"/>
        </w:rPr>
        <w:t>，</w:t>
      </w:r>
      <w:r>
        <w:rPr>
          <w:rFonts w:hint="eastAsia" w:eastAsia="仿宋_GB2312"/>
          <w:color w:val="000000" w:themeColor="text1"/>
          <w:sz w:val="32"/>
          <w:szCs w:val="48"/>
        </w:rPr>
        <w:t>推动</w:t>
      </w:r>
      <w:r>
        <w:rPr>
          <w:rFonts w:eastAsia="仿宋_GB2312"/>
          <w:color w:val="000000" w:themeColor="text1"/>
          <w:sz w:val="32"/>
          <w:szCs w:val="48"/>
        </w:rPr>
        <w:t>5G与各行各业的深度融合</w:t>
      </w:r>
      <w:r>
        <w:rPr>
          <w:rFonts w:hint="eastAsia" w:eastAsia="仿宋_GB2312"/>
          <w:color w:val="000000" w:themeColor="text1"/>
          <w:sz w:val="32"/>
          <w:szCs w:val="48"/>
        </w:rPr>
        <w:t>，</w:t>
      </w:r>
      <w:r>
        <w:rPr>
          <w:rFonts w:eastAsia="仿宋_GB2312"/>
          <w:color w:val="000000" w:themeColor="text1"/>
          <w:sz w:val="32"/>
          <w:szCs w:val="48"/>
        </w:rPr>
        <w:t>重点面向教育、医疗、社保、环保、安全等领域信息化需求，以及政府、金融、通信、交通、商贸、物流、能源等领域的信息技术应用，</w:t>
      </w:r>
      <w:r>
        <w:rPr>
          <w:rFonts w:hint="eastAsia" w:eastAsia="仿宋_GB2312"/>
          <w:color w:val="000000" w:themeColor="text1"/>
          <w:sz w:val="32"/>
          <w:szCs w:val="48"/>
        </w:rPr>
        <w:t>发展</w:t>
      </w:r>
      <w:r>
        <w:rPr>
          <w:rFonts w:eastAsia="仿宋_GB2312"/>
          <w:color w:val="000000" w:themeColor="text1"/>
          <w:sz w:val="32"/>
          <w:szCs w:val="48"/>
        </w:rPr>
        <w:t>5G+光通信、智能终端、基础材料，网络安全、软件开发与服务等，持续引进发展VR/AR设备、可穿戴设备等，建设集研发创新、应用体验、产业发展等多领域于一体的5G综合智能科技示范基地。</w:t>
      </w:r>
    </w:p>
    <w:p>
      <w:pPr>
        <w:spacing w:line="600" w:lineRule="exact"/>
        <w:ind w:firstLine="643"/>
        <w:rPr>
          <w:color w:val="000000" w:themeColor="text1"/>
        </w:rPr>
      </w:pPr>
      <w:r>
        <w:rPr>
          <w:rFonts w:hint="eastAsia" w:ascii="楷体_GB2312" w:hAnsi="楷体_GB2312" w:eastAsia="楷体_GB2312" w:cs="楷体_GB2312"/>
          <w:b/>
          <w:bCs/>
          <w:color w:val="000000" w:themeColor="text1"/>
          <w:sz w:val="32"/>
          <w:szCs w:val="48"/>
        </w:rPr>
        <w:t>信息安全和区块链。</w:t>
      </w:r>
      <w:r>
        <w:rPr>
          <w:rFonts w:hint="eastAsia" w:ascii="仿宋_GB2312" w:hAnsi="微软雅黑" w:eastAsia="仿宋_GB2312"/>
          <w:color w:val="000000" w:themeColor="text1"/>
          <w:sz w:val="32"/>
          <w:szCs w:val="48"/>
          <w:shd w:val="clear" w:color="auto" w:fill="FFFFFF"/>
        </w:rPr>
        <w:t>提升全市信息安全保障能力。</w:t>
      </w:r>
      <w:r>
        <w:rPr>
          <w:rFonts w:hint="eastAsia" w:ascii="黑体" w:hAnsi="黑体" w:eastAsia="黑体" w:cs="楷体_GB2312"/>
          <w:color w:val="000000" w:themeColor="text1"/>
          <w:sz w:val="32"/>
          <w:szCs w:val="40"/>
        </w:rPr>
        <w:t>加强关键技术创新，</w:t>
      </w:r>
      <w:r>
        <w:rPr>
          <w:rFonts w:hint="eastAsia" w:ascii="仿宋_GB2312" w:hAnsi="微软雅黑" w:eastAsia="仿宋_GB2312"/>
          <w:color w:val="000000" w:themeColor="text1"/>
          <w:sz w:val="32"/>
          <w:szCs w:val="48"/>
          <w:shd w:val="clear" w:color="auto" w:fill="FFFFFF"/>
        </w:rPr>
        <w:t>推进云服务安全、数据防泄漏、</w:t>
      </w:r>
      <w:r>
        <w:rPr>
          <w:rFonts w:eastAsia="仿宋_GB2312"/>
          <w:color w:val="000000" w:themeColor="text1"/>
          <w:sz w:val="32"/>
          <w:szCs w:val="48"/>
          <w:shd w:val="clear" w:color="auto" w:fill="FFFFFF"/>
        </w:rPr>
        <w:t>APT</w:t>
      </w:r>
      <w:r>
        <w:rPr>
          <w:rFonts w:hint="eastAsia" w:ascii="仿宋_GB2312" w:hAnsi="微软雅黑" w:eastAsia="仿宋_GB2312"/>
          <w:color w:val="000000" w:themeColor="text1"/>
          <w:sz w:val="32"/>
          <w:szCs w:val="48"/>
          <w:shd w:val="clear" w:color="auto" w:fill="FFFFFF"/>
        </w:rPr>
        <w:t>攻击检测防御、威胁情报收集和分析、隐私保护等领域的技术攻关，加强物联网架构安全、异构网络安全、数据安全、个人信息安全等自主可控关键技术和产品的研发。</w:t>
      </w:r>
      <w:r>
        <w:rPr>
          <w:rFonts w:hint="eastAsia" w:ascii="黑体" w:hAnsi="黑体" w:eastAsia="黑体" w:cs="楷体_GB2312"/>
          <w:color w:val="000000" w:themeColor="text1"/>
          <w:sz w:val="32"/>
          <w:szCs w:val="40"/>
        </w:rPr>
        <w:t>推动技术融合应用，</w:t>
      </w:r>
      <w:r>
        <w:rPr>
          <w:rFonts w:hint="eastAsia" w:ascii="仿宋_GB2312" w:hAnsi="微软雅黑" w:eastAsia="仿宋_GB2312"/>
          <w:color w:val="000000" w:themeColor="text1"/>
          <w:sz w:val="32"/>
          <w:szCs w:val="48"/>
          <w:shd w:val="clear" w:color="auto" w:fill="FFFFFF"/>
        </w:rPr>
        <w:t>加快信—息安全技术和服务在物联网、工业互联网、移动互联网、云计算、大数据、智慧城市等领域的应用，增强信息基础设施、重大系统、重要信息的安全保障能力。</w:t>
      </w:r>
      <w:r>
        <w:rPr>
          <w:rStyle w:val="24"/>
          <w:rFonts w:hint="eastAsia" w:ascii="黑体" w:hAnsi="黑体" w:eastAsia="黑体"/>
          <w:b w:val="0"/>
          <w:bCs w:val="0"/>
          <w:color w:val="000000" w:themeColor="text1"/>
          <w:sz w:val="32"/>
          <w:szCs w:val="48"/>
          <w:shd w:val="clear" w:color="auto" w:fill="FFFFFF"/>
        </w:rPr>
        <w:t>布局区块链产业，</w:t>
      </w:r>
      <w:r>
        <w:rPr>
          <w:rFonts w:hint="eastAsia" w:ascii="仿宋_GB2312" w:hAnsi="微软雅黑" w:eastAsia="仿宋_GB2312"/>
          <w:color w:val="000000" w:themeColor="text1"/>
          <w:sz w:val="32"/>
          <w:szCs w:val="48"/>
          <w:shd w:val="clear" w:color="auto" w:fill="FFFFFF"/>
        </w:rPr>
        <w:t>完善技术标准，加强分布式数据存储、点对点传输、共识机制、非对称加密算法、智能合约等区块链技术攻关和标准制定。加强产品研发，重点发展数据共享、电子存证、供应链管理、产品溯源等区块链产品。推广技术应用，推进区块链产品在政务、金融、工业、物流、医疗、法律等行业领域的应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33"/>
              <w:spacing w:before="0" w:after="0" w:line="600" w:lineRule="exact"/>
              <w:jc w:val="center"/>
              <w:rPr>
                <w:rFonts w:ascii="黑体" w:hAnsi="黑体" w:eastAsia="黑体"/>
                <w:color w:val="000000" w:themeColor="text1"/>
                <w:kern w:val="21"/>
                <w:sz w:val="30"/>
                <w:szCs w:val="30"/>
              </w:rPr>
            </w:pPr>
            <w:r>
              <w:rPr>
                <w:rFonts w:hint="eastAsia" w:ascii="黑体" w:hAnsi="黑体" w:eastAsia="黑体"/>
                <w:color w:val="000000" w:themeColor="text1"/>
                <w:kern w:val="21"/>
                <w:sz w:val="30"/>
                <w:szCs w:val="30"/>
              </w:rPr>
              <w:t>专栏4 新一代电子信息行业培育行动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33"/>
              <w:spacing w:before="0" w:after="0" w:line="520" w:lineRule="exact"/>
              <w:ind w:firstLine="642" w:firstLineChars="200"/>
              <w:jc w:val="both"/>
              <w:rPr>
                <w:rFonts w:ascii="楷体_GB2312" w:hAnsi="楷体_GB2312" w:eastAsia="楷体_GB2312"/>
                <w:color w:val="000000" w:themeColor="text1"/>
                <w:kern w:val="21"/>
                <w:sz w:val="30"/>
                <w:szCs w:val="30"/>
              </w:rPr>
            </w:pPr>
            <w:r>
              <w:rPr>
                <w:rFonts w:eastAsia="楷体_GB2312"/>
                <w:b/>
                <w:bCs w:val="0"/>
                <w:color w:val="000000" w:themeColor="text1"/>
                <w:kern w:val="21"/>
                <w:sz w:val="30"/>
                <w:szCs w:val="30"/>
              </w:rPr>
              <w:t>（1）</w:t>
            </w:r>
            <w:r>
              <w:rPr>
                <w:rFonts w:ascii="楷体_GB2312" w:hAnsi="楷体_GB2312" w:eastAsia="楷体_GB2312"/>
                <w:b/>
                <w:bCs w:val="0"/>
                <w:color w:val="000000" w:themeColor="text1"/>
                <w:kern w:val="21"/>
                <w:sz w:val="30"/>
                <w:szCs w:val="30"/>
              </w:rPr>
              <w:t>传统电子信息行业：</w:t>
            </w:r>
            <w:r>
              <w:rPr>
                <w:rFonts w:ascii="楷体_GB2312" w:hAnsi="楷体_GB2312" w:eastAsia="楷体_GB2312"/>
                <w:color w:val="000000" w:themeColor="text1"/>
                <w:kern w:val="21"/>
                <w:sz w:val="30"/>
                <w:szCs w:val="30"/>
              </w:rPr>
              <w:t>围绕核心基础元器件加强先进基础工艺积累及新材料开发，引导企业开发新型电子信息产品；重点推动电容器、电感器等新型电子元器件产品发展，发展</w:t>
            </w:r>
            <w:r>
              <w:rPr>
                <w:rFonts w:eastAsia="楷体_GB2312"/>
                <w:color w:val="000000" w:themeColor="text1"/>
                <w:kern w:val="21"/>
                <w:sz w:val="30"/>
                <w:szCs w:val="30"/>
              </w:rPr>
              <w:t>IC载</w:t>
            </w:r>
            <w:r>
              <w:rPr>
                <w:rFonts w:ascii="楷体_GB2312" w:hAnsi="楷体_GB2312" w:eastAsia="楷体_GB2312"/>
                <w:color w:val="000000" w:themeColor="text1"/>
                <w:kern w:val="21"/>
                <w:sz w:val="30"/>
                <w:szCs w:val="30"/>
              </w:rPr>
              <w:t>板、高密度互连板、特种印</w:t>
            </w:r>
            <w:r>
              <w:rPr>
                <w:rFonts w:eastAsia="楷体_GB2312"/>
                <w:color w:val="000000" w:themeColor="text1"/>
                <w:kern w:val="21"/>
                <w:sz w:val="30"/>
                <w:szCs w:val="30"/>
              </w:rPr>
              <w:t>制板、LED</w:t>
            </w:r>
            <w:r>
              <w:rPr>
                <w:rFonts w:ascii="楷体_GB2312" w:hAnsi="楷体_GB2312" w:eastAsia="楷体_GB2312"/>
                <w:color w:val="000000" w:themeColor="text1"/>
                <w:kern w:val="21"/>
                <w:sz w:val="30"/>
                <w:szCs w:val="30"/>
              </w:rPr>
              <w:t>用印制板、柔性印制电路板等；发展无人驾驶汽车动力电机、北斗导航定位仪、通讯终端、电子控制</w:t>
            </w:r>
            <w:r>
              <w:rPr>
                <w:rFonts w:eastAsia="楷体_GB2312"/>
                <w:color w:val="000000" w:themeColor="text1"/>
                <w:kern w:val="21"/>
                <w:sz w:val="30"/>
                <w:szCs w:val="30"/>
              </w:rPr>
              <w:t>单元（ECU）</w:t>
            </w:r>
            <w:r>
              <w:rPr>
                <w:rFonts w:ascii="楷体_GB2312" w:hAnsi="楷体_GB2312" w:eastAsia="楷体_GB2312"/>
                <w:color w:val="000000" w:themeColor="text1"/>
                <w:kern w:val="21"/>
                <w:sz w:val="30"/>
                <w:szCs w:val="30"/>
              </w:rPr>
              <w:t>等智能网联汽车关键部件、模组和器件，积极开发集音视频、导航运用、网络传输、人机交互等模块功能的系统集成化产品。</w:t>
            </w:r>
          </w:p>
          <w:p>
            <w:pPr>
              <w:pStyle w:val="33"/>
              <w:spacing w:before="0" w:after="0" w:line="520" w:lineRule="exact"/>
              <w:ind w:firstLine="642" w:firstLineChars="200"/>
              <w:jc w:val="both"/>
              <w:rPr>
                <w:rFonts w:ascii="楷体_GB2312" w:hAnsi="楷体_GB2312" w:eastAsia="楷体_GB2312"/>
                <w:color w:val="000000" w:themeColor="text1"/>
                <w:kern w:val="21"/>
                <w:sz w:val="30"/>
                <w:szCs w:val="30"/>
              </w:rPr>
            </w:pPr>
            <w:r>
              <w:rPr>
                <w:rFonts w:eastAsia="楷体_GB2312"/>
                <w:b/>
                <w:bCs w:val="0"/>
                <w:color w:val="000000" w:themeColor="text1"/>
                <w:kern w:val="21"/>
                <w:sz w:val="30"/>
                <w:szCs w:val="30"/>
              </w:rPr>
              <w:t>（2）</w:t>
            </w:r>
            <w:r>
              <w:rPr>
                <w:rFonts w:ascii="楷体_GB2312" w:hAnsi="楷体_GB2312" w:eastAsia="楷体_GB2312"/>
                <w:b/>
                <w:bCs w:val="0"/>
                <w:color w:val="000000" w:themeColor="text1"/>
                <w:kern w:val="21"/>
                <w:sz w:val="30"/>
                <w:szCs w:val="30"/>
              </w:rPr>
              <w:t>新一代电子信息行业：</w:t>
            </w:r>
            <w:r>
              <w:rPr>
                <w:rFonts w:ascii="楷体_GB2312" w:hAnsi="楷体_GB2312" w:eastAsia="楷体_GB2312"/>
                <w:color w:val="000000" w:themeColor="text1"/>
                <w:kern w:val="21"/>
                <w:sz w:val="30"/>
                <w:szCs w:val="30"/>
              </w:rPr>
              <w:t>重点聚焦物联网、网络通信、工业互联网、区块链等重点细分领域，建立完善数字经济产</w:t>
            </w:r>
            <w:r>
              <w:rPr>
                <w:rFonts w:hint="eastAsia" w:ascii="楷体_GB2312" w:hAnsi="楷体_GB2312" w:eastAsia="楷体_GB2312"/>
                <w:color w:val="000000" w:themeColor="text1"/>
                <w:kern w:val="21"/>
                <w:sz w:val="30"/>
                <w:szCs w:val="30"/>
              </w:rPr>
              <w:t>业“两图两库”</w:t>
            </w:r>
            <w:r>
              <w:rPr>
                <w:rFonts w:ascii="楷体_GB2312" w:hAnsi="楷体_GB2312" w:eastAsia="楷体_GB2312"/>
                <w:color w:val="000000" w:themeColor="text1"/>
                <w:kern w:val="21"/>
                <w:sz w:val="30"/>
                <w:szCs w:val="30"/>
              </w:rPr>
              <w:t>（即产业链地图和招商地图，重点项目库和重点企业库），加大项目建设和企业培育力度；</w:t>
            </w:r>
          </w:p>
          <w:p>
            <w:pPr>
              <w:pStyle w:val="33"/>
              <w:spacing w:before="0" w:after="0" w:line="520" w:lineRule="exact"/>
              <w:ind w:firstLine="642" w:firstLineChars="200"/>
              <w:jc w:val="both"/>
              <w:rPr>
                <w:rFonts w:ascii="楷体_GB2312" w:hAnsi="楷体_GB2312" w:eastAsia="楷体_GB2312"/>
                <w:color w:val="000000" w:themeColor="text1"/>
                <w:kern w:val="21"/>
                <w:sz w:val="30"/>
                <w:szCs w:val="30"/>
              </w:rPr>
            </w:pPr>
            <w:r>
              <w:rPr>
                <w:rFonts w:hint="eastAsia" w:ascii="楷体_GB2312" w:hAnsi="楷体_GB2312" w:eastAsia="楷体_GB2312" w:cs="宋体"/>
                <w:b/>
                <w:bCs w:val="0"/>
                <w:color w:val="000000" w:themeColor="text1"/>
                <w:kern w:val="21"/>
                <w:sz w:val="30"/>
                <w:szCs w:val="30"/>
              </w:rPr>
              <w:t>①</w:t>
            </w:r>
            <w:r>
              <w:rPr>
                <w:rFonts w:ascii="楷体_GB2312" w:hAnsi="楷体_GB2312" w:eastAsia="楷体_GB2312"/>
                <w:b/>
                <w:bCs w:val="0"/>
                <w:color w:val="000000" w:themeColor="text1"/>
                <w:kern w:val="21"/>
                <w:sz w:val="30"/>
                <w:szCs w:val="30"/>
              </w:rPr>
              <w:t>智能计算产业链：</w:t>
            </w:r>
            <w:r>
              <w:rPr>
                <w:rFonts w:ascii="楷体_GB2312" w:hAnsi="楷体_GB2312" w:eastAsia="楷体_GB2312"/>
                <w:color w:val="000000" w:themeColor="text1"/>
                <w:kern w:val="21"/>
                <w:sz w:val="30"/>
                <w:szCs w:val="30"/>
              </w:rPr>
              <w:t>重点发展推进清华同方计算机生产项目建设，加快招引整机、机柜、软</w:t>
            </w:r>
            <w:r>
              <w:rPr>
                <w:rFonts w:eastAsia="楷体_GB2312"/>
                <w:color w:val="000000" w:themeColor="text1"/>
                <w:kern w:val="21"/>
                <w:sz w:val="30"/>
                <w:szCs w:val="30"/>
              </w:rPr>
              <w:t>件、CPU等</w:t>
            </w:r>
            <w:r>
              <w:rPr>
                <w:rFonts w:ascii="楷体_GB2312" w:hAnsi="楷体_GB2312" w:eastAsia="楷体_GB2312"/>
                <w:color w:val="000000" w:themeColor="text1"/>
                <w:kern w:val="21"/>
                <w:sz w:val="30"/>
                <w:szCs w:val="30"/>
              </w:rPr>
              <w:t>上下游企业入驻；全力推进玉林孪生计算与大数据云服务中心建设，做大智能计算产业规模，抓好云计算、大数据等智能计算产业。</w:t>
            </w:r>
          </w:p>
          <w:p>
            <w:pPr>
              <w:pStyle w:val="33"/>
              <w:spacing w:before="0" w:after="0" w:line="520" w:lineRule="exact"/>
              <w:ind w:firstLine="642" w:firstLineChars="200"/>
              <w:jc w:val="both"/>
              <w:rPr>
                <w:rFonts w:ascii="楷体_GB2312" w:hAnsi="楷体_GB2312" w:eastAsia="楷体_GB2312"/>
                <w:color w:val="000000" w:themeColor="text1"/>
                <w:kern w:val="21"/>
                <w:sz w:val="30"/>
                <w:szCs w:val="30"/>
              </w:rPr>
            </w:pPr>
            <w:r>
              <w:rPr>
                <w:rFonts w:hint="eastAsia" w:ascii="楷体_GB2312" w:hAnsi="楷体_GB2312" w:eastAsia="楷体_GB2312" w:cs="宋体"/>
                <w:b/>
                <w:bCs w:val="0"/>
                <w:color w:val="000000" w:themeColor="text1"/>
                <w:kern w:val="21"/>
                <w:sz w:val="30"/>
                <w:szCs w:val="30"/>
              </w:rPr>
              <w:t>②</w:t>
            </w:r>
            <w:r>
              <w:rPr>
                <w:rFonts w:ascii="楷体_GB2312" w:hAnsi="楷体_GB2312" w:eastAsia="楷体_GB2312"/>
                <w:b/>
                <w:bCs w:val="0"/>
                <w:color w:val="000000" w:themeColor="text1"/>
                <w:kern w:val="21"/>
                <w:sz w:val="30"/>
                <w:szCs w:val="30"/>
              </w:rPr>
              <w:t>工业互联网产业：</w:t>
            </w:r>
            <w:r>
              <w:rPr>
                <w:rFonts w:ascii="楷体_GB2312" w:hAnsi="楷体_GB2312" w:eastAsia="楷体_GB2312"/>
                <w:color w:val="000000" w:themeColor="text1"/>
                <w:kern w:val="21"/>
                <w:sz w:val="30"/>
                <w:szCs w:val="30"/>
              </w:rPr>
              <w:t>重点发展面向企业、行业和区域等打造不同层级的工业互联网平台，鼓励中小企业使用云应用软件，推动玉柴集团、银亿新材料等龙头骨干企业整合企业内部和产业链上下游资源，加</w:t>
            </w:r>
            <w:r>
              <w:rPr>
                <w:rFonts w:eastAsia="楷体_GB2312"/>
                <w:color w:val="000000" w:themeColor="text1"/>
                <w:kern w:val="21"/>
                <w:sz w:val="30"/>
                <w:szCs w:val="30"/>
              </w:rPr>
              <w:t>快工业APP</w:t>
            </w:r>
            <w:r>
              <w:rPr>
                <w:rFonts w:ascii="楷体_GB2312" w:hAnsi="楷体_GB2312" w:eastAsia="楷体_GB2312"/>
                <w:color w:val="000000" w:themeColor="text1"/>
                <w:kern w:val="21"/>
                <w:sz w:val="30"/>
                <w:szCs w:val="30"/>
              </w:rPr>
              <w:t>和微服务资源池研发推广，从资源上云向业务上云转变</w:t>
            </w:r>
            <w:r>
              <w:rPr>
                <w:rFonts w:hint="eastAsia" w:ascii="楷体_GB2312" w:hAnsi="楷体_GB2312" w:eastAsia="楷体_GB2312"/>
                <w:color w:val="000000" w:themeColor="text1"/>
                <w:kern w:val="21"/>
                <w:sz w:val="30"/>
                <w:szCs w:val="30"/>
              </w:rPr>
              <w:t>，形成“一个行业一朵云”的</w:t>
            </w:r>
            <w:r>
              <w:rPr>
                <w:rFonts w:ascii="楷体_GB2312" w:hAnsi="楷体_GB2312" w:eastAsia="楷体_GB2312"/>
                <w:color w:val="000000" w:themeColor="text1"/>
                <w:kern w:val="21"/>
                <w:sz w:val="30"/>
                <w:szCs w:val="30"/>
              </w:rPr>
              <w:t>生态圈。</w:t>
            </w:r>
          </w:p>
          <w:p>
            <w:pPr>
              <w:pStyle w:val="33"/>
              <w:spacing w:before="0" w:after="0" w:line="520" w:lineRule="exact"/>
              <w:ind w:firstLine="642" w:firstLineChars="200"/>
              <w:jc w:val="both"/>
              <w:rPr>
                <w:rFonts w:ascii="楷体_GB2312" w:hAnsi="楷体_GB2312" w:eastAsia="楷体_GB2312"/>
                <w:color w:val="000000" w:themeColor="text1"/>
                <w:kern w:val="21"/>
                <w:sz w:val="30"/>
                <w:szCs w:val="30"/>
              </w:rPr>
            </w:pPr>
            <w:r>
              <w:rPr>
                <w:rFonts w:hint="eastAsia" w:ascii="楷体_GB2312" w:hAnsi="楷体_GB2312" w:eastAsia="楷体_GB2312" w:cs="宋体"/>
                <w:b/>
                <w:bCs w:val="0"/>
                <w:color w:val="000000" w:themeColor="text1"/>
                <w:kern w:val="21"/>
                <w:sz w:val="30"/>
                <w:szCs w:val="30"/>
              </w:rPr>
              <w:t>③</w:t>
            </w:r>
            <w:r>
              <w:rPr>
                <w:rFonts w:ascii="楷体_GB2312" w:hAnsi="楷体_GB2312" w:eastAsia="楷体_GB2312"/>
                <w:b/>
                <w:bCs w:val="0"/>
                <w:color w:val="000000" w:themeColor="text1"/>
                <w:kern w:val="21"/>
                <w:sz w:val="30"/>
                <w:szCs w:val="30"/>
              </w:rPr>
              <w:t>大数据产业：</w:t>
            </w:r>
            <w:r>
              <w:rPr>
                <w:rFonts w:ascii="楷体_GB2312" w:hAnsi="楷体_GB2312" w:eastAsia="楷体_GB2312"/>
                <w:color w:val="000000" w:themeColor="text1"/>
                <w:kern w:val="21"/>
                <w:sz w:val="30"/>
                <w:szCs w:val="30"/>
              </w:rPr>
              <w:t>重点发展大数据应用产业，坚持以数据资源为关键要素，培育新业态、新模式，加快大数据在工业、教育、医疗、人社、新零售等产业领域的深化应用。</w:t>
            </w:r>
          </w:p>
          <w:p>
            <w:pPr>
              <w:pStyle w:val="33"/>
              <w:spacing w:before="0" w:after="0" w:line="520" w:lineRule="exact"/>
              <w:ind w:firstLine="642" w:firstLineChars="200"/>
              <w:jc w:val="both"/>
              <w:rPr>
                <w:rFonts w:ascii="楷体_GB2312" w:hAnsi="楷体_GB2312" w:eastAsia="楷体_GB2312"/>
                <w:color w:val="000000" w:themeColor="text1"/>
                <w:kern w:val="21"/>
                <w:sz w:val="30"/>
                <w:szCs w:val="30"/>
              </w:rPr>
            </w:pPr>
            <w:r>
              <w:rPr>
                <w:rFonts w:hint="eastAsia" w:ascii="楷体_GB2312" w:hAnsi="楷体_GB2312" w:eastAsia="楷体_GB2312" w:cs="宋体"/>
                <w:b/>
                <w:bCs w:val="0"/>
                <w:color w:val="000000" w:themeColor="text1"/>
                <w:kern w:val="21"/>
                <w:sz w:val="30"/>
                <w:szCs w:val="30"/>
              </w:rPr>
              <w:t>④</w:t>
            </w:r>
            <w:r>
              <w:rPr>
                <w:rFonts w:ascii="楷体_GB2312" w:hAnsi="楷体_GB2312" w:eastAsia="楷体_GB2312"/>
                <w:b/>
                <w:bCs w:val="0"/>
                <w:color w:val="000000" w:themeColor="text1"/>
                <w:kern w:val="21"/>
                <w:sz w:val="30"/>
                <w:szCs w:val="30"/>
              </w:rPr>
              <w:t>区块链产业：</w:t>
            </w:r>
            <w:r>
              <w:rPr>
                <w:rFonts w:ascii="楷体_GB2312" w:hAnsi="楷体_GB2312" w:eastAsia="楷体_GB2312"/>
                <w:color w:val="000000" w:themeColor="text1"/>
                <w:kern w:val="21"/>
                <w:sz w:val="30"/>
                <w:szCs w:val="30"/>
              </w:rPr>
              <w:t>重点发展区块链在智慧城市、金融、产品防伪溯源、智能制造、电信安全等方面的应用，筹建</w:t>
            </w:r>
            <w:r>
              <w:rPr>
                <w:rFonts w:hint="eastAsia" w:ascii="楷体_GB2312" w:hAnsi="楷体_GB2312" w:eastAsia="楷体_GB2312"/>
                <w:color w:val="000000" w:themeColor="text1"/>
                <w:kern w:val="21"/>
                <w:sz w:val="30"/>
                <w:szCs w:val="30"/>
              </w:rPr>
              <w:t>玉林</w:t>
            </w:r>
            <w:r>
              <w:rPr>
                <w:rFonts w:ascii="楷体_GB2312" w:hAnsi="楷体_GB2312" w:eastAsia="楷体_GB2312"/>
                <w:color w:val="000000" w:themeColor="text1"/>
                <w:kern w:val="21"/>
                <w:sz w:val="30"/>
                <w:szCs w:val="30"/>
              </w:rPr>
              <w:t>区块链研究院，推动</w:t>
            </w:r>
            <w:r>
              <w:rPr>
                <w:rFonts w:hint="eastAsia" w:ascii="楷体_GB2312" w:hAnsi="楷体_GB2312" w:eastAsia="楷体_GB2312"/>
                <w:color w:val="000000" w:themeColor="text1"/>
                <w:kern w:val="21"/>
                <w:sz w:val="30"/>
                <w:szCs w:val="30"/>
              </w:rPr>
              <w:t>玉林</w:t>
            </w:r>
            <w:r>
              <w:rPr>
                <w:rFonts w:ascii="楷体_GB2312" w:hAnsi="楷体_GB2312" w:eastAsia="楷体_GB2312"/>
                <w:color w:val="000000" w:themeColor="text1"/>
                <w:kern w:val="21"/>
                <w:sz w:val="30"/>
                <w:szCs w:val="30"/>
              </w:rPr>
              <w:t>商用密码区块链产业</w:t>
            </w:r>
            <w:r>
              <w:rPr>
                <w:rFonts w:hint="eastAsia" w:ascii="楷体_GB2312" w:hAnsi="楷体_GB2312" w:eastAsia="楷体_GB2312"/>
                <w:color w:val="000000" w:themeColor="text1"/>
                <w:kern w:val="21"/>
                <w:sz w:val="30"/>
                <w:szCs w:val="30"/>
              </w:rPr>
              <w:t>实验室建设</w:t>
            </w:r>
            <w:r>
              <w:rPr>
                <w:rFonts w:ascii="楷体_GB2312" w:hAnsi="楷体_GB2312" w:eastAsia="楷体_GB2312"/>
                <w:color w:val="000000" w:themeColor="text1"/>
                <w:kern w:val="21"/>
                <w:sz w:val="30"/>
                <w:szCs w:val="30"/>
              </w:rPr>
              <w:t>。</w:t>
            </w:r>
          </w:p>
          <w:p>
            <w:pPr>
              <w:pStyle w:val="33"/>
              <w:spacing w:before="0" w:after="0" w:line="520" w:lineRule="exact"/>
              <w:ind w:firstLine="642" w:firstLineChars="200"/>
              <w:jc w:val="both"/>
              <w:rPr>
                <w:rFonts w:ascii="楷体_GB2312" w:hAnsi="楷体_GB2312" w:eastAsia="楷体_GB2312"/>
                <w:color w:val="000000" w:themeColor="text1"/>
                <w:kern w:val="21"/>
                <w:sz w:val="30"/>
                <w:szCs w:val="30"/>
              </w:rPr>
            </w:pPr>
            <w:r>
              <w:rPr>
                <w:rFonts w:hint="eastAsia" w:ascii="楷体_GB2312" w:hAnsi="楷体_GB2312" w:eastAsia="楷体_GB2312" w:cs="宋体"/>
                <w:b/>
                <w:bCs w:val="0"/>
                <w:color w:val="000000" w:themeColor="text1"/>
                <w:kern w:val="21"/>
                <w:sz w:val="30"/>
                <w:szCs w:val="30"/>
              </w:rPr>
              <w:t>⑤</w:t>
            </w:r>
            <w:r>
              <w:rPr>
                <w:rFonts w:ascii="楷体_GB2312" w:hAnsi="楷体_GB2312" w:eastAsia="楷体_GB2312"/>
                <w:b/>
                <w:bCs w:val="0"/>
                <w:color w:val="000000" w:themeColor="text1"/>
                <w:kern w:val="21"/>
                <w:sz w:val="30"/>
                <w:szCs w:val="30"/>
              </w:rPr>
              <w:t>网络安全产业：</w:t>
            </w:r>
            <w:r>
              <w:rPr>
                <w:rFonts w:hint="eastAsia" w:ascii="楷体_GB2312" w:hAnsi="楷体_GB2312" w:eastAsia="楷体_GB2312"/>
                <w:color w:val="000000" w:themeColor="text1"/>
                <w:kern w:val="21"/>
                <w:sz w:val="30"/>
                <w:szCs w:val="30"/>
              </w:rPr>
              <w:t>聚焦科技金融、工业互联网、智能网联汽车等重点领域，开展</w:t>
            </w:r>
            <w:r>
              <w:rPr>
                <w:rFonts w:eastAsia="楷体_GB2312"/>
                <w:color w:val="000000" w:themeColor="text1"/>
                <w:kern w:val="21"/>
                <w:sz w:val="30"/>
                <w:szCs w:val="30"/>
              </w:rPr>
              <w:t>IPv6安</w:t>
            </w:r>
            <w:r>
              <w:rPr>
                <w:rFonts w:hint="eastAsia" w:ascii="楷体_GB2312" w:hAnsi="楷体_GB2312" w:eastAsia="楷体_GB2312"/>
                <w:color w:val="000000" w:themeColor="text1"/>
                <w:kern w:val="21"/>
                <w:sz w:val="30"/>
                <w:szCs w:val="30"/>
              </w:rPr>
              <w:t>全</w:t>
            </w:r>
            <w:r>
              <w:rPr>
                <w:rFonts w:eastAsia="楷体_GB2312"/>
                <w:color w:val="000000" w:themeColor="text1"/>
                <w:kern w:val="21"/>
                <w:sz w:val="30"/>
                <w:szCs w:val="30"/>
              </w:rPr>
              <w:t>、5G</w:t>
            </w:r>
            <w:r>
              <w:rPr>
                <w:rFonts w:hint="eastAsia" w:ascii="楷体_GB2312" w:hAnsi="楷体_GB2312" w:eastAsia="楷体_GB2312"/>
                <w:color w:val="000000" w:themeColor="text1"/>
                <w:kern w:val="21"/>
                <w:sz w:val="30"/>
                <w:szCs w:val="30"/>
              </w:rPr>
              <w:t>安全、物联网安全、工业互联网安全、大数据安全和人工智能安全等技术研究和设备、软件、解决方案的开发及示范应用，重点引进启明星辰等网络安全领域头部企业，与玉林孪生计算与大数据云服务中心合作，共同建设集网络安全态势感知中心、动态化展示大厅、网络安全应急指挥中心、云安全防护中心于一体的安全运营中心，逐步形成“产、学、研”相结合的产业体系和技术创新服务体系。</w:t>
            </w:r>
          </w:p>
          <w:p>
            <w:pPr>
              <w:pStyle w:val="33"/>
              <w:spacing w:before="0" w:after="0" w:line="520" w:lineRule="exact"/>
              <w:ind w:firstLine="642" w:firstLineChars="200"/>
              <w:jc w:val="both"/>
              <w:rPr>
                <w:rFonts w:ascii="楷体_GB2312" w:hAnsi="楷体_GB2312" w:eastAsia="楷体_GB2312"/>
                <w:color w:val="000000" w:themeColor="text1"/>
                <w:kern w:val="21"/>
                <w:sz w:val="30"/>
                <w:szCs w:val="30"/>
              </w:rPr>
            </w:pPr>
            <w:r>
              <w:rPr>
                <w:rFonts w:eastAsia="楷体_GB2312"/>
                <w:b/>
                <w:bCs w:val="0"/>
                <w:color w:val="000000" w:themeColor="text1"/>
                <w:kern w:val="21"/>
                <w:sz w:val="30"/>
                <w:szCs w:val="30"/>
              </w:rPr>
              <w:t>（3）</w:t>
            </w:r>
            <w:r>
              <w:rPr>
                <w:rFonts w:hint="eastAsia" w:ascii="楷体_GB2312" w:hAnsi="楷体_GB2312" w:eastAsia="楷体_GB2312"/>
                <w:b/>
                <w:bCs w:val="0"/>
                <w:color w:val="000000" w:themeColor="text1"/>
                <w:kern w:val="21"/>
                <w:sz w:val="30"/>
                <w:szCs w:val="30"/>
              </w:rPr>
              <w:t>软件信息产业：</w:t>
            </w:r>
            <w:r>
              <w:rPr>
                <w:rFonts w:hint="eastAsia" w:ascii="楷体_GB2312" w:hAnsi="楷体_GB2312" w:eastAsia="楷体_GB2312"/>
                <w:color w:val="000000" w:themeColor="text1"/>
                <w:kern w:val="21"/>
                <w:sz w:val="30"/>
                <w:szCs w:val="30"/>
              </w:rPr>
              <w:t>重点发展嵌入式软件、工业软件，加速软件业向制造业跨界融合；围绕餐饮、娱乐、出行、文化、旅游等居民生活服务领域消费需求，发展基于软件与互联网的分享经济服务新业态。</w:t>
            </w:r>
          </w:p>
          <w:p>
            <w:pPr>
              <w:pStyle w:val="33"/>
              <w:spacing w:before="0" w:after="0" w:line="520" w:lineRule="exact"/>
              <w:ind w:firstLine="642" w:firstLineChars="200"/>
              <w:jc w:val="both"/>
              <w:rPr>
                <w:rFonts w:eastAsia="楷体_GB2312"/>
                <w:color w:val="000000" w:themeColor="text1"/>
                <w:kern w:val="21"/>
                <w:sz w:val="30"/>
                <w:szCs w:val="30"/>
              </w:rPr>
            </w:pPr>
            <w:r>
              <w:rPr>
                <w:rFonts w:eastAsia="楷体_GB2312"/>
                <w:b/>
                <w:bCs w:val="0"/>
                <w:color w:val="000000" w:themeColor="text1"/>
                <w:kern w:val="21"/>
                <w:sz w:val="30"/>
                <w:szCs w:val="30"/>
              </w:rPr>
              <w:t>（4）信创产业：</w:t>
            </w:r>
            <w:r>
              <w:rPr>
                <w:rFonts w:hint="eastAsia" w:eastAsia="楷体_GB2312"/>
                <w:color w:val="000000" w:themeColor="text1"/>
                <w:kern w:val="21"/>
                <w:sz w:val="30"/>
                <w:szCs w:val="30"/>
              </w:rPr>
              <w:t>积极融入鲲鹏生态，建设鲲鹏生态创新中心市级分中心，壮大鲲鹏、飞腾等新计算产业规模。重点支持同方计算机玉林基地加快发展，带动终端及整机上下游企业集聚玉林，建设一个基于国产龙芯、兆芯CPU的微型计算机和机架式服务器的生产基地。</w:t>
            </w:r>
          </w:p>
        </w:tc>
      </w:tr>
    </w:tbl>
    <w:p>
      <w:pPr>
        <w:pStyle w:val="6"/>
        <w:spacing w:before="0" w:after="0" w:line="600" w:lineRule="exact"/>
        <w:ind w:firstLine="643" w:firstLineChars="200"/>
        <w:rPr>
          <w:rFonts w:eastAsia="楷体_GB2312"/>
          <w:color w:val="000000" w:themeColor="text1"/>
        </w:rPr>
      </w:pPr>
      <w:bookmarkStart w:id="52" w:name="_Toc32281"/>
      <w:bookmarkStart w:id="53" w:name="_Toc93409997"/>
      <w:r>
        <w:rPr>
          <w:rFonts w:eastAsia="楷体_GB2312"/>
          <w:color w:val="000000" w:themeColor="text1"/>
        </w:rPr>
        <w:t>3</w:t>
      </w:r>
      <w:r>
        <w:rPr>
          <w:rFonts w:hint="eastAsia" w:eastAsia="楷体_GB2312"/>
          <w:color w:val="000000" w:themeColor="text1"/>
        </w:rPr>
        <w:t>.推进制造业数字化转型</w:t>
      </w:r>
      <w:bookmarkEnd w:id="52"/>
      <w:bookmarkEnd w:id="53"/>
    </w:p>
    <w:p>
      <w:pPr>
        <w:pStyle w:val="33"/>
        <w:spacing w:before="0" w:after="0" w:line="600" w:lineRule="exact"/>
        <w:ind w:firstLine="680" w:firstLineChars="200"/>
        <w:jc w:val="both"/>
        <w:rPr>
          <w:rFonts w:ascii="楷体_GB2312" w:hAnsi="楷体_GB2312" w:eastAsia="楷体_GB2312"/>
          <w:b/>
          <w:bCs w:val="0"/>
          <w:color w:val="000000" w:themeColor="text1"/>
          <w:sz w:val="32"/>
          <w:szCs w:val="32"/>
        </w:rPr>
      </w:pPr>
      <w:r>
        <w:rPr>
          <w:rFonts w:hint="eastAsia" w:ascii="仿宋_GB2312" w:eastAsia="仿宋_GB2312"/>
          <w:bCs w:val="0"/>
          <w:color w:val="000000" w:themeColor="text1"/>
          <w:sz w:val="32"/>
          <w:szCs w:val="32"/>
        </w:rPr>
        <w:t>结合努力再造“两个玉林工业”，打造“两湾”区域性先进制造业基地、广西轻工业产业城的战略目标，以产业数字化为手段全力推动制造业赶超。</w:t>
      </w:r>
    </w:p>
    <w:p>
      <w:pPr>
        <w:pStyle w:val="33"/>
        <w:spacing w:before="0" w:after="0" w:line="600" w:lineRule="exact"/>
        <w:ind w:firstLine="683" w:firstLineChars="200"/>
        <w:jc w:val="both"/>
        <w:rPr>
          <w:color w:val="000000" w:themeColor="text1"/>
        </w:rPr>
      </w:pPr>
      <w:r>
        <w:rPr>
          <w:rFonts w:hint="eastAsia" w:ascii="楷体_GB2312" w:hAnsi="楷体_GB2312" w:eastAsia="楷体_GB2312"/>
          <w:b/>
          <w:bCs w:val="0"/>
          <w:color w:val="000000" w:themeColor="text1"/>
          <w:sz w:val="32"/>
          <w:szCs w:val="32"/>
        </w:rPr>
        <w:t>打造工业互联网赋能体系。</w:t>
      </w:r>
      <w:r>
        <w:rPr>
          <w:rFonts w:hint="eastAsia" w:eastAsia="仿宋_GB2312"/>
          <w:color w:val="000000" w:themeColor="text1"/>
          <w:sz w:val="32"/>
          <w:szCs w:val="32"/>
        </w:rPr>
        <w:t>围绕玉林五大制造业产业链，六大轻工业产业链和N个县域特色产业集群数字化转型，</w:t>
      </w:r>
      <w:r>
        <w:rPr>
          <w:rFonts w:eastAsia="黑体"/>
          <w:color w:val="000000" w:themeColor="text1"/>
          <w:sz w:val="32"/>
          <w:szCs w:val="32"/>
        </w:rPr>
        <w:t>打造</w:t>
      </w:r>
      <w:r>
        <w:rPr>
          <w:rFonts w:ascii="黑体" w:hAnsi="黑体" w:eastAsia="黑体"/>
          <w:color w:val="000000" w:themeColor="text1"/>
          <w:sz w:val="32"/>
          <w:szCs w:val="32"/>
        </w:rPr>
        <w:t>“</w:t>
      </w:r>
      <w:r>
        <w:rPr>
          <w:rFonts w:eastAsia="黑体"/>
          <w:color w:val="000000" w:themeColor="text1"/>
          <w:sz w:val="32"/>
          <w:szCs w:val="32"/>
        </w:rPr>
        <w:t>5+6+N</w:t>
      </w:r>
      <w:r>
        <w:rPr>
          <w:rFonts w:ascii="黑体" w:hAnsi="黑体" w:eastAsia="黑体"/>
          <w:color w:val="000000" w:themeColor="text1"/>
          <w:sz w:val="32"/>
          <w:szCs w:val="32"/>
        </w:rPr>
        <w:t>”</w:t>
      </w:r>
      <w:r>
        <w:rPr>
          <w:rFonts w:eastAsia="黑体"/>
          <w:color w:val="000000" w:themeColor="text1"/>
          <w:sz w:val="32"/>
          <w:szCs w:val="32"/>
        </w:rPr>
        <w:t>工业互联网平台体系</w:t>
      </w:r>
      <w:r>
        <w:rPr>
          <w:rFonts w:hint="eastAsia" w:eastAsia="仿宋_GB2312"/>
          <w:color w:val="000000" w:themeColor="text1"/>
          <w:sz w:val="32"/>
          <w:szCs w:val="32"/>
        </w:rPr>
        <w:t>，推进“一集群一平台”建设，实现百亿以上传统产业集群工业互联网平台全覆盖。加快建设功能全面的工业互联网基础性平台，鼓励有条件的大中型重点企业或地方融资平台与工业互联网平台商、服务商合作，打造多个面向垂直行业和细分领域的工业互联网平台，重点</w:t>
      </w:r>
      <w:r>
        <w:rPr>
          <w:rFonts w:eastAsia="仿宋_GB2312"/>
          <w:color w:val="000000" w:themeColor="text1"/>
          <w:sz w:val="32"/>
          <w:szCs w:val="32"/>
        </w:rPr>
        <w:t>引导</w:t>
      </w:r>
      <w:r>
        <w:rPr>
          <w:rFonts w:hint="eastAsia" w:eastAsia="仿宋_GB2312"/>
          <w:color w:val="000000" w:themeColor="text1"/>
          <w:sz w:val="32"/>
          <w:szCs w:val="32"/>
        </w:rPr>
        <w:t>装备制造、新材料、纺织服装、林业化工</w:t>
      </w:r>
      <w:r>
        <w:rPr>
          <w:rFonts w:eastAsia="仿宋_GB2312"/>
          <w:color w:val="000000" w:themeColor="text1"/>
          <w:sz w:val="32"/>
          <w:szCs w:val="32"/>
        </w:rPr>
        <w:t>等传统优势行业建设工业互联网标识解析二级节点。</w:t>
      </w:r>
      <w:r>
        <w:rPr>
          <w:rFonts w:hint="eastAsia" w:eastAsia="仿宋_GB2312"/>
          <w:color w:val="000000" w:themeColor="text1"/>
          <w:sz w:val="32"/>
          <w:szCs w:val="32"/>
        </w:rPr>
        <w:t>加快推进工业互联网玉柴内网网络标杆试点、玉柴工业园物联网综合管理平台项目、广西日用陶瓷工业互联网平台等项目建设，形成有力支撑制造业发展的工业互联网生态体系。建设玉林特色工业互联网平台，</w:t>
      </w:r>
      <w:r>
        <w:rPr>
          <w:rFonts w:eastAsia="仿宋_GB2312"/>
          <w:color w:val="000000" w:themeColor="text1"/>
          <w:sz w:val="32"/>
          <w:szCs w:val="32"/>
        </w:rPr>
        <w:t>推动ERP、MES、PLM等工业软件云化改造，开发面向协同研发、全生命周期管理、预测性维护等场景的工业APP</w:t>
      </w:r>
      <w:r>
        <w:rPr>
          <w:rFonts w:hint="eastAsia" w:eastAsia="仿宋_GB2312"/>
          <w:color w:val="000000" w:themeColor="text1"/>
          <w:sz w:val="32"/>
          <w:szCs w:val="32"/>
        </w:rPr>
        <w:t>，</w:t>
      </w:r>
      <w:r>
        <w:rPr>
          <w:rFonts w:eastAsia="仿宋_GB2312"/>
          <w:color w:val="000000" w:themeColor="text1"/>
          <w:sz w:val="32"/>
          <w:szCs w:val="32"/>
        </w:rPr>
        <w:t>建成一批5G+应用场景，形成一批工业互联网平台赋能产业集群数字化转型解决方案</w:t>
      </w:r>
      <w:r>
        <w:rPr>
          <w:rFonts w:hint="eastAsia" w:eastAsia="仿宋_GB2312"/>
          <w:color w:val="000000" w:themeColor="text1"/>
          <w:sz w:val="32"/>
          <w:szCs w:val="32"/>
        </w:rPr>
        <w:t>，加速落实“工业企业上云”</w:t>
      </w:r>
      <w:r>
        <w:rPr>
          <w:rFonts w:eastAsia="仿宋_GB2312"/>
          <w:color w:val="000000" w:themeColor="text1"/>
          <w:sz w:val="32"/>
          <w:szCs w:val="32"/>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33"/>
              <w:spacing w:before="0" w:after="0" w:line="600" w:lineRule="exact"/>
              <w:ind w:firstLine="31"/>
              <w:jc w:val="center"/>
              <w:rPr>
                <w:rFonts w:ascii="黑体" w:hAnsi="黑体" w:eastAsia="黑体"/>
                <w:color w:val="000000" w:themeColor="text1"/>
                <w:kern w:val="21"/>
                <w:sz w:val="30"/>
                <w:szCs w:val="30"/>
              </w:rPr>
            </w:pPr>
            <w:bookmarkStart w:id="54" w:name="_Toc71139953"/>
            <w:r>
              <w:rPr>
                <w:rFonts w:hint="eastAsia" w:ascii="黑体" w:hAnsi="黑体" w:eastAsia="黑体"/>
                <w:color w:val="000000" w:themeColor="text1"/>
                <w:kern w:val="21"/>
                <w:sz w:val="30"/>
                <w:szCs w:val="30"/>
              </w:rPr>
              <w:t>专栏5 工业互联网专项建设工程</w:t>
            </w:r>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20" w:lineRule="exact"/>
              <w:ind w:firstLine="602"/>
              <w:rPr>
                <w:rFonts w:eastAsia="楷体_GB2312"/>
                <w:color w:val="000000" w:themeColor="text1"/>
                <w:kern w:val="0"/>
                <w:sz w:val="30"/>
                <w:szCs w:val="30"/>
                <w:shd w:val="clear" w:color="auto" w:fill="FFFFFF"/>
              </w:rPr>
            </w:pPr>
            <w:r>
              <w:rPr>
                <w:rFonts w:eastAsia="楷体_GB2312"/>
                <w:color w:val="000000" w:themeColor="text1"/>
                <w:kern w:val="0"/>
                <w:sz w:val="30"/>
                <w:szCs w:val="30"/>
                <w:shd w:val="clear" w:color="auto" w:fill="FFFFFF"/>
              </w:rPr>
              <w:t>加快实施国家工业互联网标识解析二级节点建设项目（星火链网工程），推进行业级、区域级、产业链级、特定环节、企业级工业互联网平台建设。</w:t>
            </w:r>
          </w:p>
          <w:p>
            <w:pPr>
              <w:spacing w:line="520" w:lineRule="exact"/>
              <w:ind w:firstLine="602"/>
              <w:rPr>
                <w:rFonts w:eastAsia="楷体_GB2312"/>
                <w:color w:val="000000" w:themeColor="text1"/>
                <w:kern w:val="0"/>
                <w:sz w:val="30"/>
                <w:szCs w:val="30"/>
                <w:shd w:val="clear" w:color="auto" w:fill="FFFFFF"/>
              </w:rPr>
            </w:pPr>
            <w:r>
              <w:rPr>
                <w:rFonts w:eastAsia="楷体_GB2312"/>
                <w:b/>
                <w:bCs/>
                <w:color w:val="000000" w:themeColor="text1"/>
                <w:kern w:val="0"/>
                <w:sz w:val="30"/>
                <w:szCs w:val="30"/>
                <w:shd w:val="clear" w:color="auto" w:fill="FFFFFF"/>
              </w:rPr>
              <w:t>行业级：</w:t>
            </w:r>
            <w:r>
              <w:rPr>
                <w:rFonts w:eastAsia="楷体_GB2312"/>
                <w:color w:val="000000" w:themeColor="text1"/>
                <w:kern w:val="0"/>
                <w:sz w:val="30"/>
                <w:szCs w:val="30"/>
                <w:shd w:val="clear" w:color="auto" w:fill="FFFFFF"/>
              </w:rPr>
              <w:t>围绕</w:t>
            </w:r>
            <w:r>
              <w:rPr>
                <w:rFonts w:hint="eastAsia" w:eastAsia="楷体_GB2312"/>
                <w:color w:val="000000" w:themeColor="text1"/>
                <w:kern w:val="0"/>
                <w:sz w:val="30"/>
                <w:szCs w:val="30"/>
                <w:shd w:val="clear" w:color="auto" w:fill="FFFFFF"/>
              </w:rPr>
              <w:t>五大制造业产业链，六大轻工业产业链，两大传统产业以及五大战略性新兴产业和N个县域特色产业</w:t>
            </w:r>
            <w:r>
              <w:rPr>
                <w:rFonts w:eastAsia="楷体_GB2312"/>
                <w:color w:val="000000" w:themeColor="text1"/>
                <w:kern w:val="0"/>
                <w:sz w:val="30"/>
                <w:szCs w:val="30"/>
                <w:shd w:val="clear" w:color="auto" w:fill="FFFFFF"/>
              </w:rPr>
              <w:t>，提供企业工艺及能耗管理、流程控制优化、智能化生产管控、产品远程诊断运维、产品全生命周期管理等服务，力争传统产业与特色产业全覆盖。</w:t>
            </w:r>
          </w:p>
          <w:p>
            <w:pPr>
              <w:spacing w:line="520" w:lineRule="exact"/>
              <w:ind w:firstLine="602"/>
              <w:rPr>
                <w:rFonts w:eastAsia="楷体_GB2312"/>
                <w:color w:val="000000" w:themeColor="text1"/>
                <w:kern w:val="0"/>
                <w:sz w:val="30"/>
                <w:szCs w:val="30"/>
                <w:shd w:val="clear" w:color="auto" w:fill="FFFFFF"/>
              </w:rPr>
            </w:pPr>
            <w:r>
              <w:rPr>
                <w:rFonts w:eastAsia="楷体_GB2312"/>
                <w:b/>
                <w:bCs/>
                <w:color w:val="000000" w:themeColor="text1"/>
                <w:kern w:val="0"/>
                <w:sz w:val="30"/>
                <w:szCs w:val="30"/>
                <w:shd w:val="clear" w:color="auto" w:fill="FFFFFF"/>
              </w:rPr>
              <w:t>区域级：</w:t>
            </w:r>
            <w:r>
              <w:rPr>
                <w:rFonts w:eastAsia="楷体_GB2312"/>
                <w:color w:val="000000" w:themeColor="text1"/>
                <w:kern w:val="0"/>
                <w:sz w:val="30"/>
                <w:szCs w:val="30"/>
                <w:shd w:val="clear" w:color="auto" w:fill="FFFFFF"/>
              </w:rPr>
              <w:t>依托重点产业园区，提供区域资源协同、区域设备规模接入、共性机理模型与微服务开发等服务。</w:t>
            </w:r>
          </w:p>
          <w:p>
            <w:pPr>
              <w:spacing w:line="520" w:lineRule="exact"/>
              <w:ind w:firstLine="602"/>
              <w:rPr>
                <w:rFonts w:eastAsia="楷体_GB2312"/>
                <w:color w:val="000000" w:themeColor="text1"/>
                <w:kern w:val="0"/>
                <w:sz w:val="30"/>
                <w:szCs w:val="30"/>
                <w:shd w:val="clear" w:color="auto" w:fill="FFFFFF"/>
              </w:rPr>
            </w:pPr>
            <w:r>
              <w:rPr>
                <w:rFonts w:eastAsia="楷体_GB2312"/>
                <w:b/>
                <w:bCs/>
                <w:color w:val="000000" w:themeColor="text1"/>
                <w:kern w:val="0"/>
                <w:sz w:val="30"/>
                <w:szCs w:val="30"/>
                <w:shd w:val="clear" w:color="auto" w:fill="FFFFFF"/>
              </w:rPr>
              <w:t>产业链级：</w:t>
            </w:r>
            <w:r>
              <w:rPr>
                <w:rFonts w:eastAsia="楷体_GB2312"/>
                <w:color w:val="000000" w:themeColor="text1"/>
                <w:kern w:val="0"/>
                <w:sz w:val="30"/>
                <w:szCs w:val="30"/>
                <w:shd w:val="clear" w:color="auto" w:fill="FFFFFF"/>
              </w:rPr>
              <w:t>面向智能计算、网络通信、新能源智能网联汽车等重点新兴产业链，推动产业链资源精准对接、要素优化配置、运作高效协同，提升产业链数字化、网络化、智能化水平。</w:t>
            </w:r>
          </w:p>
          <w:p>
            <w:pPr>
              <w:spacing w:line="520" w:lineRule="exact"/>
              <w:ind w:firstLine="561"/>
              <w:rPr>
                <w:rFonts w:eastAsia="楷体_GB2312"/>
                <w:color w:val="000000" w:themeColor="text1"/>
                <w:kern w:val="0"/>
                <w:sz w:val="30"/>
                <w:szCs w:val="30"/>
                <w:shd w:val="clear" w:color="auto" w:fill="FFFFFF"/>
              </w:rPr>
            </w:pPr>
            <w:r>
              <w:rPr>
                <w:rFonts w:eastAsia="楷体_GB2312"/>
                <w:b/>
                <w:bCs/>
                <w:color w:val="000000" w:themeColor="text1"/>
                <w:kern w:val="0"/>
                <w:sz w:val="30"/>
                <w:szCs w:val="30"/>
                <w:shd w:val="clear" w:color="auto" w:fill="FFFFFF"/>
              </w:rPr>
              <w:t>特定环节：</w:t>
            </w:r>
            <w:r>
              <w:rPr>
                <w:rFonts w:eastAsia="楷体_GB2312"/>
                <w:color w:val="000000" w:themeColor="text1"/>
                <w:kern w:val="0"/>
                <w:sz w:val="30"/>
                <w:szCs w:val="30"/>
                <w:shd w:val="clear" w:color="auto" w:fill="FFFFFF"/>
              </w:rPr>
              <w:t>针对研发设计、供应链管理、品质管控等特定环节或特定场景，以轻量化的方式提供跨行业、跨地域的数字化转型服务。</w:t>
            </w:r>
          </w:p>
          <w:p>
            <w:pPr>
              <w:spacing w:line="520" w:lineRule="exact"/>
              <w:ind w:firstLine="561"/>
              <w:rPr>
                <w:color w:val="000000" w:themeColor="text1"/>
                <w:kern w:val="0"/>
                <w:sz w:val="20"/>
              </w:rPr>
            </w:pPr>
            <w:r>
              <w:rPr>
                <w:rFonts w:hint="eastAsia" w:eastAsia="楷体_GB2312"/>
                <w:color w:val="000000" w:themeColor="text1"/>
                <w:kern w:val="0"/>
                <w:sz w:val="30"/>
                <w:szCs w:val="30"/>
                <w:shd w:val="clear" w:color="auto" w:fill="FFFFFF"/>
              </w:rPr>
              <w:t>到2025年，力争建成1个以上工业互联网公共基础性平台；打造形成1个以上有示范推广作用的标识解析应用案例；建设智能化改造、工业互联网建设重大项目15项以上，打造5G+工业互联网应用场景10个，5G在重点工业企业技术应用率达到70%。</w:t>
            </w:r>
          </w:p>
        </w:tc>
      </w:tr>
    </w:tbl>
    <w:p>
      <w:pPr>
        <w:spacing w:line="600" w:lineRule="exact"/>
        <w:ind w:firstLine="643"/>
        <w:rPr>
          <w:rFonts w:ascii="仿宋_GB2312" w:hAnsi="楷体_GB2312" w:eastAsia="仿宋_GB2312" w:cs="楷体_GB2312"/>
          <w:color w:val="000000" w:themeColor="text1"/>
          <w:sz w:val="32"/>
          <w:szCs w:val="48"/>
        </w:rPr>
      </w:pPr>
      <w:r>
        <w:rPr>
          <w:rFonts w:hint="eastAsia" w:ascii="楷体_GB2312" w:hAnsi="楷体_GB2312" w:eastAsia="楷体_GB2312" w:cs="楷体_GB2312"/>
          <w:b/>
          <w:bCs/>
          <w:color w:val="000000" w:themeColor="text1"/>
          <w:sz w:val="32"/>
          <w:szCs w:val="48"/>
        </w:rPr>
        <w:t>加快制造业企业数字化升级。</w:t>
      </w:r>
      <w:r>
        <w:rPr>
          <w:rFonts w:hint="eastAsia" w:ascii="仿宋_GB2312" w:hAnsi="楷体_GB2312" w:eastAsia="仿宋_GB2312" w:cs="楷体_GB2312"/>
          <w:color w:val="000000" w:themeColor="text1"/>
          <w:sz w:val="32"/>
          <w:szCs w:val="48"/>
        </w:rPr>
        <w:t>立足玉林先进制造优势产业与品牌基础，加快实施传统产业机器换人、设备换芯、生产换线，推动机械制造、铜精深加工、不锈钢冶炼、制药、香料加工、印染纺织、建材等传统产业向高端化、智能化、绿色化转型升级。落实智能制造标准体系，培育基于互联网的新技术、新业态、新模式，建设软件定义的智能工厂，发展数据驱动的先进制造，推进以智能制造为引领的“三大改造”。</w:t>
      </w:r>
      <w:r>
        <w:rPr>
          <w:rFonts w:hint="eastAsia" w:ascii="黑体" w:hAnsi="黑体" w:eastAsia="黑体" w:cs="楷体_GB2312"/>
          <w:color w:val="000000" w:themeColor="text1"/>
          <w:sz w:val="32"/>
          <w:szCs w:val="48"/>
        </w:rPr>
        <w:t>鼓励引导玉柴集团、银亿新材料等广西制造业</w:t>
      </w:r>
      <w:r>
        <w:rPr>
          <w:rFonts w:ascii="黑体" w:hAnsi="黑体" w:eastAsia="黑体"/>
          <w:color w:val="000000" w:themeColor="text1"/>
          <w:sz w:val="32"/>
          <w:szCs w:val="48"/>
        </w:rPr>
        <w:t>50</w:t>
      </w:r>
      <w:r>
        <w:rPr>
          <w:rFonts w:hint="eastAsia" w:ascii="黑体" w:hAnsi="黑体" w:eastAsia="黑体" w:cs="楷体_GB2312"/>
          <w:color w:val="000000" w:themeColor="text1"/>
          <w:sz w:val="32"/>
          <w:szCs w:val="48"/>
        </w:rPr>
        <w:t>强企业持续开展智能化改造，建设升级版智能车间或智能工厂，全面实现关键工序智能化、关键岗位机器人替代和生产过程智能优化控制。</w:t>
      </w:r>
      <w:r>
        <w:rPr>
          <w:rFonts w:hint="eastAsia" w:ascii="仿宋_GB2312" w:hAnsi="楷体_GB2312" w:eastAsia="仿宋_GB2312" w:cs="楷体_GB2312"/>
          <w:color w:val="000000" w:themeColor="text1"/>
          <w:sz w:val="32"/>
          <w:szCs w:val="48"/>
        </w:rPr>
        <w:t>鼓励有条件的智能装备企业为传统产业企业智能化改造提供系统解决方案和设备、生产线维修。</w:t>
      </w:r>
      <w:r>
        <w:rPr>
          <w:rFonts w:ascii="仿宋_GB2312" w:hAnsi="楷体_GB2312" w:eastAsia="仿宋_GB2312" w:cs="楷体_GB2312"/>
          <w:color w:val="000000" w:themeColor="text1"/>
          <w:sz w:val="32"/>
          <w:szCs w:val="48"/>
        </w:rPr>
        <w:t>支持智能传感器、智能仪</w:t>
      </w:r>
      <w:r>
        <w:rPr>
          <w:rFonts w:hint="eastAsia" w:ascii="仿宋_GB2312" w:hAnsi="楷体_GB2312" w:eastAsia="仿宋_GB2312" w:cs="楷体_GB2312"/>
          <w:color w:val="000000" w:themeColor="text1"/>
          <w:sz w:val="32"/>
          <w:szCs w:val="48"/>
        </w:rPr>
        <w:t>器仪表、工业控制系统等在机械装备和智能终端中集成应用。鼓励龙头企业、高校和科研院所强化合作，共同开展智能制造基础共性标准、关键技术标准和行业应用标准研究，建立完善智能制造标准体系。到</w:t>
      </w:r>
      <w:r>
        <w:rPr>
          <w:rFonts w:eastAsia="仿宋_GB2312"/>
          <w:color w:val="000000" w:themeColor="text1"/>
          <w:sz w:val="32"/>
          <w:szCs w:val="48"/>
        </w:rPr>
        <w:t>2025年建设30个智能</w:t>
      </w:r>
      <w:r>
        <w:rPr>
          <w:rFonts w:hint="eastAsia" w:ascii="仿宋_GB2312" w:hAnsi="楷体_GB2312" w:eastAsia="仿宋_GB2312" w:cs="楷体_GB2312"/>
          <w:color w:val="000000" w:themeColor="text1"/>
          <w:sz w:val="32"/>
          <w:szCs w:val="48"/>
        </w:rPr>
        <w:t>工厂、</w:t>
      </w:r>
      <w:r>
        <w:rPr>
          <w:rFonts w:ascii="仿宋_GB2312" w:hAnsi="楷体_GB2312" w:eastAsia="仿宋_GB2312" w:cs="楷体_GB2312"/>
          <w:color w:val="000000" w:themeColor="text1"/>
          <w:sz w:val="32"/>
          <w:szCs w:val="48"/>
        </w:rPr>
        <w:t>数字化车间。</w:t>
      </w:r>
    </w:p>
    <w:p>
      <w:pPr>
        <w:pStyle w:val="33"/>
        <w:spacing w:before="0" w:after="0" w:line="600" w:lineRule="exact"/>
        <w:ind w:firstLine="683" w:firstLineChars="200"/>
        <w:jc w:val="both"/>
        <w:rPr>
          <w:rFonts w:ascii="楷体_GB2312" w:hAnsi="楷体_GB2312" w:eastAsia="楷体_GB2312"/>
          <w:b/>
          <w:bCs w:val="0"/>
          <w:color w:val="000000" w:themeColor="text1"/>
          <w:sz w:val="32"/>
          <w:szCs w:val="32"/>
        </w:rPr>
      </w:pPr>
      <w:r>
        <w:rPr>
          <w:rFonts w:hint="eastAsia" w:ascii="楷体_GB2312" w:hAnsi="楷体_GB2312" w:eastAsia="楷体_GB2312"/>
          <w:b/>
          <w:bCs w:val="0"/>
          <w:color w:val="000000" w:themeColor="text1"/>
          <w:sz w:val="32"/>
          <w:szCs w:val="32"/>
        </w:rPr>
        <w:t>加快制造企业数字化赋能</w:t>
      </w:r>
      <w:r>
        <w:rPr>
          <w:rFonts w:ascii="楷体_GB2312" w:hAnsi="楷体_GB2312" w:eastAsia="楷体_GB2312"/>
          <w:b/>
          <w:bCs w:val="0"/>
          <w:color w:val="000000" w:themeColor="text1"/>
          <w:sz w:val="32"/>
          <w:szCs w:val="32"/>
        </w:rPr>
        <w:t>。</w:t>
      </w:r>
      <w:r>
        <w:rPr>
          <w:rFonts w:hint="eastAsia" w:eastAsia="仿宋_GB2312"/>
          <w:color w:val="000000" w:themeColor="text1"/>
          <w:sz w:val="32"/>
          <w:szCs w:val="32"/>
        </w:rPr>
        <w:t>推行普惠性“上云用数赋智”服务，深入推进</w:t>
      </w:r>
      <w:r>
        <w:rPr>
          <w:rFonts w:hint="eastAsia" w:ascii="黑体" w:hAnsi="黑体" w:eastAsia="黑体"/>
          <w:color w:val="000000" w:themeColor="text1"/>
          <w:sz w:val="32"/>
          <w:szCs w:val="32"/>
        </w:rPr>
        <w:t>“百企智能化改造行动”</w:t>
      </w:r>
      <w:r>
        <w:rPr>
          <w:rFonts w:hint="eastAsia" w:eastAsia="仿宋_GB2312"/>
          <w:color w:val="000000" w:themeColor="text1"/>
          <w:sz w:val="32"/>
          <w:szCs w:val="32"/>
        </w:rPr>
        <w:t>，实现规上制造企业全覆盖，深化工业机器人、5G、物联网、大数据、数字孪生等在智能制造领域的推广应用，形成以未来工厂为引领，</w:t>
      </w:r>
      <w:r>
        <w:rPr>
          <w:rFonts w:eastAsia="仿宋_GB2312"/>
          <w:color w:val="000000" w:themeColor="text1"/>
          <w:sz w:val="32"/>
          <w:szCs w:val="32"/>
        </w:rPr>
        <w:t>智能工厂（数字化车间）</w:t>
      </w:r>
      <w:r>
        <w:rPr>
          <w:rFonts w:hint="eastAsia" w:eastAsia="仿宋_GB2312"/>
          <w:color w:val="000000" w:themeColor="text1"/>
          <w:sz w:val="32"/>
          <w:szCs w:val="32"/>
        </w:rPr>
        <w:t>为主体的</w:t>
      </w:r>
      <w:r>
        <w:rPr>
          <w:rFonts w:eastAsia="仿宋_GB2312"/>
          <w:color w:val="000000" w:themeColor="text1"/>
          <w:sz w:val="32"/>
          <w:szCs w:val="32"/>
        </w:rPr>
        <w:t>新智造企业群体。</w:t>
      </w:r>
      <w:r>
        <w:rPr>
          <w:rFonts w:hint="eastAsia" w:eastAsia="仿宋_GB2312"/>
          <w:color w:val="000000" w:themeColor="text1"/>
          <w:sz w:val="32"/>
          <w:szCs w:val="32"/>
        </w:rPr>
        <w:t>基于玉林孪生计算与大数据云服务中心，为制造业企业提供IDC资源租赁、数据服务、通信服务、灾备中心和云计算服务等增值服务。支持制造业企业和科技服务公司发展智能化解决方案服务，为中小企业提供数字化供应链、数字化营销、智能工厂、智慧零售及大数据运营与分析等外包服务。</w:t>
      </w:r>
    </w:p>
    <w:p>
      <w:pPr>
        <w:spacing w:line="600" w:lineRule="exact"/>
        <w:ind w:firstLine="683" w:firstLineChars="200"/>
        <w:rPr>
          <w:rFonts w:eastAsia="方正仿宋_GBK"/>
          <w:color w:val="000000" w:themeColor="text1"/>
          <w:kern w:val="21"/>
          <w:sz w:val="32"/>
          <w:szCs w:val="32"/>
        </w:rPr>
      </w:pPr>
      <w:r>
        <w:rPr>
          <w:rFonts w:ascii="楷体_GB2312" w:hAnsi="楷体_GB2312" w:eastAsia="楷体_GB2312"/>
          <w:b/>
          <w:color w:val="000000" w:themeColor="text1"/>
          <w:spacing w:val="10"/>
          <w:kern w:val="0"/>
          <w:sz w:val="32"/>
          <w:szCs w:val="32"/>
        </w:rPr>
        <w:t>加快园区平台数字化转型</w:t>
      </w:r>
      <w:r>
        <w:rPr>
          <w:rFonts w:hint="eastAsia" w:ascii="楷体_GB2312" w:hAnsi="楷体_GB2312" w:eastAsia="楷体_GB2312"/>
          <w:b/>
          <w:color w:val="000000" w:themeColor="text1"/>
          <w:spacing w:val="10"/>
          <w:kern w:val="0"/>
          <w:sz w:val="32"/>
          <w:szCs w:val="32"/>
        </w:rPr>
        <w:t>。</w:t>
      </w:r>
      <w:r>
        <w:rPr>
          <w:rFonts w:hint="eastAsia" w:ascii="仿宋_GB2312" w:eastAsia="仿宋_GB2312"/>
          <w:color w:val="000000" w:themeColor="text1"/>
          <w:sz w:val="32"/>
          <w:szCs w:val="32"/>
        </w:rPr>
        <w:t>加快26个轻工产业园区建设，推动龙潭产业园区、玉柴工业园区、玉林中医药健康产业园区升级发展，围绕园区数字基础设施建设、生产性服务业等方面的需求，全产业链承接大湾区产业转移</w:t>
      </w:r>
      <w:r>
        <w:rPr>
          <w:rFonts w:eastAsia="仿宋_GB2312"/>
          <w:color w:val="000000" w:themeColor="text1"/>
          <w:sz w:val="32"/>
          <w:szCs w:val="32"/>
        </w:rPr>
        <w:t>，</w:t>
      </w:r>
      <w:r>
        <w:rPr>
          <w:rFonts w:hint="eastAsia" w:eastAsia="仿宋_GB2312"/>
          <w:color w:val="000000" w:themeColor="text1"/>
          <w:sz w:val="32"/>
          <w:szCs w:val="32"/>
        </w:rPr>
        <w:t>重点</w:t>
      </w:r>
      <w:r>
        <w:rPr>
          <w:rFonts w:eastAsia="仿宋_GB2312"/>
          <w:color w:val="000000" w:themeColor="text1"/>
          <w:sz w:val="32"/>
          <w:szCs w:val="32"/>
        </w:rPr>
        <w:t>推动5G</w:t>
      </w:r>
      <w:r>
        <w:rPr>
          <w:rFonts w:hint="eastAsia" w:ascii="仿宋_GB2312" w:eastAsia="仿宋_GB2312"/>
          <w:color w:val="000000" w:themeColor="text1"/>
          <w:sz w:val="32"/>
          <w:szCs w:val="32"/>
        </w:rPr>
        <w:t>、大数据、云计算、物联网、工业互联网等新一代信息技术深度融合应用，推动建设</w:t>
      </w:r>
      <w:r>
        <w:rPr>
          <w:rFonts w:hint="eastAsia" w:ascii="黑体" w:hAnsi="黑体" w:eastAsia="黑体"/>
          <w:color w:val="000000" w:themeColor="text1"/>
          <w:sz w:val="32"/>
          <w:szCs w:val="32"/>
        </w:rPr>
        <w:t>“园区大脑”</w:t>
      </w:r>
      <w:r>
        <w:rPr>
          <w:rFonts w:hint="eastAsia" w:ascii="仿宋_GB2312" w:eastAsia="仿宋_GB2312"/>
          <w:color w:val="000000" w:themeColor="text1"/>
          <w:sz w:val="32"/>
          <w:szCs w:val="32"/>
        </w:rPr>
        <w:t>，强化工业互联网与园区大脑的集成应用，探索工业大数据创新应用，实现园区智慧化运营管理。依托龙头企业、重点园区、工业信息工程服务商、行业协会等资源，形成一批可复制推广的园区数字化转型解决方案，建设一批数字化示范园区。</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33"/>
              <w:spacing w:before="0" w:after="0" w:line="600" w:lineRule="exact"/>
              <w:jc w:val="center"/>
              <w:rPr>
                <w:color w:val="000000" w:themeColor="text1"/>
              </w:rPr>
            </w:pPr>
            <w:r>
              <w:rPr>
                <w:rFonts w:hint="eastAsia" w:ascii="黑体" w:hAnsi="黑体" w:eastAsia="黑体"/>
                <w:color w:val="000000" w:themeColor="text1"/>
                <w:kern w:val="21"/>
                <w:sz w:val="30"/>
                <w:szCs w:val="30"/>
              </w:rPr>
              <w:t>专栏6 制造业数字化转型提升工程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djustRightInd w:val="0"/>
              <w:snapToGrid w:val="0"/>
              <w:spacing w:line="520" w:lineRule="exact"/>
              <w:ind w:firstLine="602" w:firstLineChars="200"/>
              <w:rPr>
                <w:rFonts w:ascii="楷体_GB2312" w:hAnsi="楷体_GB2312" w:eastAsia="楷体_GB2312"/>
                <w:b/>
                <w:bCs/>
                <w:color w:val="000000" w:themeColor="text1"/>
                <w:kern w:val="21"/>
                <w:sz w:val="30"/>
                <w:szCs w:val="30"/>
              </w:rPr>
            </w:pPr>
            <w:r>
              <w:rPr>
                <w:rFonts w:eastAsia="楷体_GB2312"/>
                <w:b/>
                <w:bCs/>
                <w:color w:val="000000" w:themeColor="text1"/>
                <w:kern w:val="21"/>
                <w:sz w:val="30"/>
                <w:szCs w:val="30"/>
              </w:rPr>
              <w:t>（1）</w:t>
            </w:r>
            <w:r>
              <w:rPr>
                <w:rFonts w:hint="eastAsia" w:ascii="楷体_GB2312" w:hAnsi="楷体_GB2312" w:eastAsia="楷体_GB2312"/>
                <w:b/>
                <w:bCs/>
                <w:color w:val="000000" w:themeColor="text1"/>
                <w:kern w:val="21"/>
                <w:sz w:val="30"/>
                <w:szCs w:val="30"/>
              </w:rPr>
              <w:t>百企智能化改造行动：</w:t>
            </w:r>
            <w:r>
              <w:rPr>
                <w:rFonts w:hint="eastAsia" w:ascii="楷体_GB2312" w:hAnsi="楷体_GB2312" w:eastAsia="楷体_GB2312"/>
                <w:color w:val="000000" w:themeColor="text1"/>
                <w:kern w:val="21"/>
                <w:sz w:val="30"/>
                <w:szCs w:val="30"/>
              </w:rPr>
              <w:t>实现规上工业企业智能化改造全覆盖，推动智能单元、智能产线、数字车间、智能工厂建设，每年推</w:t>
            </w:r>
            <w:r>
              <w:rPr>
                <w:rFonts w:eastAsia="楷体_GB2312"/>
                <w:color w:val="000000" w:themeColor="text1"/>
                <w:kern w:val="21"/>
                <w:sz w:val="30"/>
                <w:szCs w:val="30"/>
              </w:rPr>
              <w:t>进100家</w:t>
            </w:r>
            <w:r>
              <w:rPr>
                <w:rFonts w:hint="eastAsia" w:ascii="楷体_GB2312" w:hAnsi="楷体_GB2312" w:eastAsia="楷体_GB2312"/>
                <w:color w:val="000000" w:themeColor="text1"/>
                <w:kern w:val="21"/>
                <w:sz w:val="30"/>
                <w:szCs w:val="30"/>
              </w:rPr>
              <w:t>企业实施智能化改造。面向装备制造、新材料、新型陶瓷等流程型行业和电子信息、新能源汽车零部件、鞋服、等离散型行业，加快产品设计数字化、制造过程装备数字化、制造过程管理数字化和物流配送信息化以及能源利用集约化等，建设一批自治区级数字化车间/智能工厂。</w:t>
            </w:r>
          </w:p>
          <w:p>
            <w:pPr>
              <w:adjustRightInd w:val="0"/>
              <w:snapToGrid w:val="0"/>
              <w:spacing w:line="520" w:lineRule="exact"/>
              <w:ind w:firstLine="602" w:firstLineChars="200"/>
              <w:rPr>
                <w:rFonts w:eastAsia="楷体_GB2312"/>
                <w:color w:val="000000" w:themeColor="text1"/>
                <w:kern w:val="21"/>
                <w:sz w:val="30"/>
                <w:szCs w:val="30"/>
              </w:rPr>
            </w:pPr>
            <w:r>
              <w:rPr>
                <w:rFonts w:eastAsia="楷体_GB2312"/>
                <w:b/>
                <w:bCs/>
                <w:color w:val="000000" w:themeColor="text1"/>
                <w:kern w:val="21"/>
                <w:sz w:val="30"/>
                <w:szCs w:val="30"/>
              </w:rPr>
              <w:t>（2）</w:t>
            </w:r>
            <w:r>
              <w:rPr>
                <w:rFonts w:hint="eastAsia" w:ascii="楷体_GB2312" w:hAnsi="楷体_GB2312" w:eastAsia="楷体_GB2312"/>
                <w:b/>
                <w:bCs/>
                <w:color w:val="000000" w:themeColor="text1"/>
                <w:kern w:val="21"/>
                <w:sz w:val="30"/>
                <w:szCs w:val="30"/>
              </w:rPr>
              <w:t>推广产业集群数字化试点示范：</w:t>
            </w:r>
            <w:r>
              <w:rPr>
                <w:rFonts w:hint="eastAsia" w:ascii="楷体_GB2312" w:hAnsi="楷体_GB2312" w:eastAsia="楷体_GB2312"/>
                <w:color w:val="000000" w:themeColor="text1"/>
                <w:kern w:val="21"/>
                <w:sz w:val="30"/>
                <w:szCs w:val="30"/>
              </w:rPr>
              <w:t>围绕装备制造、新材料等两大传统产业集群和纺织服装、林产化工、陶瓷、消费品轻工业等多个县域特色产业集群，打</w:t>
            </w:r>
            <w:r>
              <w:rPr>
                <w:rFonts w:eastAsia="楷体_GB2312"/>
                <w:color w:val="000000" w:themeColor="text1"/>
                <w:kern w:val="21"/>
                <w:sz w:val="30"/>
                <w:szCs w:val="30"/>
              </w:rPr>
              <w:t>造10个工业互联网赋能产业集群数字化试点示范项目，并在产业集群企业内进行复制推广应用，形成以点带面，全面覆盖的辐射效应。</w:t>
            </w:r>
          </w:p>
          <w:p>
            <w:pPr>
              <w:adjustRightInd w:val="0"/>
              <w:snapToGrid w:val="0"/>
              <w:spacing w:line="520" w:lineRule="exact"/>
              <w:ind w:firstLine="602" w:firstLineChars="200"/>
              <w:rPr>
                <w:color w:val="000000" w:themeColor="text1"/>
                <w:kern w:val="0"/>
                <w:sz w:val="20"/>
              </w:rPr>
            </w:pPr>
            <w:r>
              <w:rPr>
                <w:rFonts w:eastAsia="楷体_GB2312"/>
                <w:b/>
                <w:bCs/>
                <w:color w:val="000000" w:themeColor="text1"/>
                <w:kern w:val="21"/>
                <w:sz w:val="30"/>
                <w:szCs w:val="30"/>
              </w:rPr>
              <w:t>（3）智慧园区：</w:t>
            </w:r>
            <w:r>
              <w:rPr>
                <w:rFonts w:eastAsia="楷体_GB2312"/>
                <w:color w:val="000000" w:themeColor="text1"/>
                <w:kern w:val="21"/>
                <w:sz w:val="30"/>
                <w:szCs w:val="30"/>
              </w:rPr>
              <w:t>支持产业园区开展智慧园区建设，建设新一代信息基础设施，为园区内的组织和个人提供安全、高速、便捷的网络环境，实现园区内的部件、人员随时随地接入网络，奠定泛在感知的网络基础；建设智慧园区应用体系，对园区服务、管理以及安全防范在内的各种需求做出智能响应，实现园区服务数智化、园区管理数治化、园区产业智能化。</w:t>
            </w:r>
          </w:p>
        </w:tc>
      </w:tr>
    </w:tbl>
    <w:p>
      <w:pPr>
        <w:pStyle w:val="6"/>
        <w:spacing w:before="0" w:after="0" w:line="600" w:lineRule="exact"/>
        <w:ind w:firstLine="643" w:firstLineChars="200"/>
        <w:rPr>
          <w:rFonts w:eastAsia="楷体_GB2312"/>
          <w:color w:val="000000" w:themeColor="text1"/>
        </w:rPr>
      </w:pPr>
      <w:bookmarkStart w:id="55" w:name="_Toc93409998"/>
      <w:bookmarkStart w:id="56" w:name="_Toc20792"/>
      <w:r>
        <w:rPr>
          <w:rFonts w:eastAsia="楷体_GB2312"/>
          <w:color w:val="000000" w:themeColor="text1"/>
        </w:rPr>
        <w:t>4.</w:t>
      </w:r>
      <w:r>
        <w:rPr>
          <w:rFonts w:hint="eastAsia" w:eastAsia="楷体_GB2312"/>
          <w:color w:val="000000" w:themeColor="text1"/>
        </w:rPr>
        <w:t>推动轻工业数字化发展</w:t>
      </w:r>
      <w:bookmarkEnd w:id="55"/>
    </w:p>
    <w:p>
      <w:pPr>
        <w:pStyle w:val="33"/>
        <w:spacing w:before="0" w:after="0" w:line="600" w:lineRule="exact"/>
        <w:ind w:firstLine="680" w:firstLineChars="200"/>
        <w:jc w:val="both"/>
        <w:rPr>
          <w:rFonts w:ascii="仿宋_GB2312" w:eastAsia="仿宋_GB2312"/>
          <w:bCs w:val="0"/>
          <w:color w:val="000000" w:themeColor="text1"/>
          <w:sz w:val="32"/>
          <w:szCs w:val="32"/>
        </w:rPr>
      </w:pPr>
      <w:r>
        <w:rPr>
          <w:rFonts w:hint="eastAsia" w:ascii="仿宋_GB2312" w:eastAsia="仿宋_GB2312"/>
          <w:bCs w:val="0"/>
          <w:color w:val="000000" w:themeColor="text1"/>
          <w:sz w:val="32"/>
          <w:szCs w:val="32"/>
        </w:rPr>
        <w:t>以“轻工业振兴”为主题，深入实施增品种、提品质、创品牌“三品”战略，重点培育发展“纺织服装、绿色食品、板材家具、</w:t>
      </w:r>
      <w:bookmarkStart w:id="57" w:name="_Hlk93405812"/>
      <w:r>
        <w:rPr>
          <w:rFonts w:hint="eastAsia" w:ascii="仿宋_GB2312" w:eastAsia="仿宋_GB2312"/>
          <w:bCs w:val="0"/>
          <w:color w:val="000000" w:themeColor="text1"/>
          <w:sz w:val="32"/>
          <w:szCs w:val="32"/>
        </w:rPr>
        <w:t>黑白家电</w:t>
      </w:r>
      <w:bookmarkEnd w:id="57"/>
      <w:r>
        <w:rPr>
          <w:rFonts w:hint="eastAsia" w:ascii="仿宋_GB2312" w:eastAsia="仿宋_GB2312"/>
          <w:bCs w:val="0"/>
          <w:color w:val="000000" w:themeColor="text1"/>
          <w:sz w:val="32"/>
          <w:szCs w:val="32"/>
        </w:rPr>
        <w:t>、五金水暖、中医药”六大轻工业产业链，加快推进广西轻工业产业城建设。</w:t>
      </w:r>
    </w:p>
    <w:p>
      <w:pPr>
        <w:pStyle w:val="3"/>
        <w:spacing w:after="0" w:line="600" w:lineRule="exact"/>
        <w:ind w:firstLine="643" w:firstLineChars="200"/>
        <w:rPr>
          <w:rFonts w:ascii="仿宋_GB2312" w:hAnsi="仿宋_GB2312" w:eastAsia="仿宋_GB2312" w:cs="楷体_GB2312"/>
          <w:color w:val="000000" w:themeColor="text1"/>
          <w:sz w:val="32"/>
          <w:szCs w:val="48"/>
        </w:rPr>
      </w:pPr>
      <w:r>
        <w:rPr>
          <w:rFonts w:hint="eastAsia" w:ascii="楷体_GB2312" w:hAnsi="楷体_GB2312" w:eastAsia="楷体_GB2312" w:cs="楷体_GB2312"/>
          <w:b/>
          <w:bCs/>
          <w:color w:val="000000" w:themeColor="text1"/>
          <w:sz w:val="32"/>
          <w:szCs w:val="48"/>
        </w:rPr>
        <w:t>重点推进智能制造。</w:t>
      </w:r>
      <w:r>
        <w:rPr>
          <w:rFonts w:hint="eastAsia" w:ascii="仿宋_GB2312" w:hAnsi="仿宋_GB2312" w:eastAsia="仿宋_GB2312" w:cs="楷体_GB2312"/>
          <w:color w:val="000000" w:themeColor="text1"/>
          <w:sz w:val="32"/>
          <w:szCs w:val="48"/>
        </w:rPr>
        <w:t>促进工业互联网、云计算、大数据在轻工业综合集成应用。在纺织服务、绿色食品、板材家具、中医药等基础条件好的行业，推进智能制造，加快智能制造软硬件产品应用与产业化，研发智能制造成套装备，推进数字化车间/智能工厂的集成创新与应用示范，加快典型经验交流和推广。强化应用牵引，在黑白家电、板材家具等行业建立智能制造产业联盟，协同推动智能装备和产品研发、系统集成创新与产业化。加强推进智能制造的标准需求研究，建立健全智能制造综合标准体系。</w:t>
      </w:r>
    </w:p>
    <w:p>
      <w:pPr>
        <w:pStyle w:val="3"/>
        <w:spacing w:after="0" w:line="600" w:lineRule="exact"/>
        <w:ind w:firstLine="643" w:firstLineChars="200"/>
        <w:rPr>
          <w:rFonts w:ascii="仿宋_GB2312" w:hAnsi="仿宋_GB2312" w:eastAsia="仿宋_GB2312" w:cs="楷体_GB2312"/>
          <w:color w:val="000000" w:themeColor="text1"/>
          <w:sz w:val="32"/>
          <w:szCs w:val="48"/>
        </w:rPr>
      </w:pPr>
      <w:r>
        <w:rPr>
          <w:rFonts w:ascii="楷体_GB2312" w:hAnsi="楷体_GB2312" w:eastAsia="楷体_GB2312" w:cs="楷体_GB2312"/>
          <w:b/>
          <w:bCs/>
          <w:color w:val="000000" w:themeColor="text1"/>
          <w:sz w:val="32"/>
          <w:szCs w:val="48"/>
        </w:rPr>
        <w:t>发展智能产品和装备。</w:t>
      </w:r>
      <w:r>
        <w:rPr>
          <w:rFonts w:ascii="仿宋_GB2312" w:hAnsi="仿宋_GB2312" w:eastAsia="仿宋_GB2312" w:cs="楷体_GB2312"/>
          <w:color w:val="000000" w:themeColor="text1"/>
          <w:sz w:val="32"/>
          <w:szCs w:val="48"/>
        </w:rPr>
        <w:t>围绕智能产品的标准制定、产品生产、系统集成和规模应用四个领域，统筹推进智能家居、服务机器人、智能照明电器、可穿戴设备等产品的研发和市场推广。鼓励行业建设开放的共性技术测试和实验平台。发展基于物联网技术的缝制机械。加快食品、</w:t>
      </w:r>
      <w:r>
        <w:rPr>
          <w:rFonts w:hint="eastAsia" w:ascii="仿宋_GB2312" w:hAnsi="仿宋_GB2312" w:eastAsia="仿宋_GB2312" w:cs="楷体_GB2312"/>
          <w:color w:val="000000" w:themeColor="text1"/>
          <w:sz w:val="32"/>
          <w:szCs w:val="48"/>
        </w:rPr>
        <w:t>中医药、板材家具</w:t>
      </w:r>
      <w:r>
        <w:rPr>
          <w:rFonts w:ascii="仿宋_GB2312" w:hAnsi="仿宋_GB2312" w:eastAsia="仿宋_GB2312" w:cs="楷体_GB2312"/>
          <w:color w:val="000000" w:themeColor="text1"/>
          <w:sz w:val="32"/>
          <w:szCs w:val="48"/>
        </w:rPr>
        <w:t>、皮革、</w:t>
      </w:r>
      <w:r>
        <w:rPr>
          <w:rFonts w:hint="eastAsia" w:ascii="仿宋_GB2312" w:hAnsi="仿宋_GB2312" w:eastAsia="仿宋_GB2312" w:cs="楷体_GB2312"/>
          <w:color w:val="000000" w:themeColor="text1"/>
          <w:sz w:val="32"/>
          <w:szCs w:val="48"/>
        </w:rPr>
        <w:t>五金水暖</w:t>
      </w:r>
      <w:r>
        <w:rPr>
          <w:rFonts w:ascii="仿宋_GB2312" w:hAnsi="仿宋_GB2312" w:eastAsia="仿宋_GB2312" w:cs="楷体_GB2312"/>
          <w:color w:val="000000" w:themeColor="text1"/>
          <w:sz w:val="32"/>
          <w:szCs w:val="48"/>
        </w:rPr>
        <w:t>等行业生产设备的智能化改造，提高精准制造、敏捷制造能力。</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3"/>
              <w:spacing w:after="0" w:line="600" w:lineRule="exact"/>
              <w:ind w:firstLine="0" w:firstLineChars="0"/>
              <w:jc w:val="center"/>
              <w:rPr>
                <w:rFonts w:ascii="仿宋_GB2312" w:hAnsi="仿宋_GB2312" w:eastAsia="仿宋_GB2312" w:cs="楷体_GB2312"/>
                <w:color w:val="000000" w:themeColor="text1"/>
                <w:kern w:val="0"/>
                <w:sz w:val="32"/>
                <w:szCs w:val="48"/>
              </w:rPr>
            </w:pPr>
            <w:r>
              <w:rPr>
                <w:rFonts w:hint="eastAsia" w:ascii="黑体" w:hAnsi="黑体" w:eastAsia="黑体"/>
                <w:color w:val="000000" w:themeColor="text1"/>
                <w:kern w:val="21"/>
                <w:sz w:val="30"/>
                <w:szCs w:val="30"/>
              </w:rPr>
              <w:t>专栏7 轻工业数字化提升工程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3"/>
              <w:spacing w:after="0" w:line="520" w:lineRule="exact"/>
              <w:ind w:firstLine="643" w:firstLineChars="200"/>
              <w:rPr>
                <w:rFonts w:eastAsia="楷体_GB2312"/>
                <w:color w:val="000000" w:themeColor="text1"/>
                <w:kern w:val="0"/>
                <w:sz w:val="32"/>
                <w:szCs w:val="48"/>
              </w:rPr>
            </w:pPr>
            <w:r>
              <w:rPr>
                <w:rFonts w:eastAsia="楷体_GB2312"/>
                <w:b/>
                <w:bCs/>
                <w:color w:val="000000" w:themeColor="text1"/>
                <w:kern w:val="0"/>
                <w:sz w:val="32"/>
                <w:szCs w:val="48"/>
              </w:rPr>
              <w:t>（</w:t>
            </w:r>
            <w:r>
              <w:rPr>
                <w:rFonts w:hint="eastAsia" w:eastAsia="楷体_GB2312"/>
                <w:b/>
                <w:bCs/>
                <w:color w:val="000000" w:themeColor="text1"/>
                <w:kern w:val="0"/>
                <w:sz w:val="32"/>
                <w:szCs w:val="48"/>
              </w:rPr>
              <w:t>1</w:t>
            </w:r>
            <w:r>
              <w:rPr>
                <w:rFonts w:eastAsia="楷体_GB2312"/>
                <w:b/>
                <w:bCs/>
                <w:color w:val="000000" w:themeColor="text1"/>
                <w:kern w:val="0"/>
                <w:sz w:val="32"/>
                <w:szCs w:val="48"/>
              </w:rPr>
              <w:t>）纺织服装</w:t>
            </w:r>
            <w:r>
              <w:rPr>
                <w:rFonts w:hint="eastAsia" w:eastAsia="楷体_GB2312"/>
                <w:b/>
                <w:bCs/>
                <w:color w:val="000000" w:themeColor="text1"/>
                <w:kern w:val="0"/>
                <w:sz w:val="32"/>
                <w:szCs w:val="48"/>
              </w:rPr>
              <w:t>行业应用与设备制造</w:t>
            </w:r>
            <w:r>
              <w:rPr>
                <w:rFonts w:eastAsia="楷体_GB2312"/>
                <w:b/>
                <w:bCs/>
                <w:color w:val="000000" w:themeColor="text1"/>
                <w:kern w:val="0"/>
                <w:sz w:val="32"/>
                <w:szCs w:val="48"/>
              </w:rPr>
              <w:t>：</w:t>
            </w:r>
            <w:r>
              <w:rPr>
                <w:rFonts w:hint="eastAsia" w:eastAsia="楷体_GB2312"/>
                <w:color w:val="000000" w:themeColor="text1"/>
                <w:kern w:val="0"/>
                <w:sz w:val="32"/>
                <w:szCs w:val="48"/>
              </w:rPr>
              <w:t>重点创新印染行业智能制造技术，包括在线检测技术、数字化自动化技术和MES系统等；宣传和引导企业使用数控机床、ERP、物联网等先进的信息技术；支持服装企业发展电子商务，大力推广“实体店+网络销售”发展模式，与淘宝网、京东商城等电子商务网站合作；重点开发纺织新型传感器、智能测量仪表、质量控制与执行系统，推进具有自动感知、智慧决策自动执行功能的高端智能装备的产业化开发和应用。</w:t>
            </w:r>
          </w:p>
          <w:p>
            <w:pPr>
              <w:pStyle w:val="3"/>
              <w:spacing w:after="0" w:line="520" w:lineRule="exact"/>
              <w:ind w:firstLine="643" w:firstLineChars="200"/>
              <w:rPr>
                <w:rFonts w:eastAsia="楷体_GB2312"/>
                <w:color w:val="000000" w:themeColor="text1"/>
                <w:kern w:val="0"/>
                <w:sz w:val="32"/>
                <w:szCs w:val="48"/>
              </w:rPr>
            </w:pPr>
            <w:r>
              <w:rPr>
                <w:rFonts w:hint="eastAsia" w:eastAsia="楷体_GB2312"/>
                <w:b/>
                <w:bCs/>
                <w:color w:val="000000" w:themeColor="text1"/>
                <w:kern w:val="0"/>
                <w:sz w:val="32"/>
                <w:szCs w:val="48"/>
              </w:rPr>
              <w:t>（2）绿色食品：</w:t>
            </w:r>
            <w:r>
              <w:rPr>
                <w:rFonts w:hint="eastAsia" w:eastAsia="楷体_GB2312"/>
                <w:color w:val="000000" w:themeColor="text1"/>
                <w:kern w:val="0"/>
                <w:sz w:val="32"/>
                <w:szCs w:val="48"/>
              </w:rPr>
              <w:t>打造具有本地特色的玉林“牛腩粉”和博白、陆川的“客家咸菜”等标志性产业I</w:t>
            </w:r>
            <w:r>
              <w:rPr>
                <w:rFonts w:eastAsia="楷体_GB2312"/>
                <w:color w:val="000000" w:themeColor="text1"/>
                <w:kern w:val="0"/>
                <w:sz w:val="32"/>
                <w:szCs w:val="48"/>
              </w:rPr>
              <w:t>P</w:t>
            </w:r>
            <w:r>
              <w:rPr>
                <w:rFonts w:hint="eastAsia" w:eastAsia="楷体_GB2312"/>
                <w:color w:val="000000" w:themeColor="text1"/>
                <w:kern w:val="0"/>
                <w:sz w:val="32"/>
                <w:szCs w:val="48"/>
              </w:rPr>
              <w:t>形象；重点针对谷物产品、果蔬产品、畜牧鱼产品、乳制品以及方便食品的深加工与制，实施“数字驱动+智慧赋能”，促进生产标准化，机械化、智能化改造。加快推进广西黑芝麻集团智能化生产基地（荣县工厂）项目。</w:t>
            </w:r>
          </w:p>
          <w:p>
            <w:pPr>
              <w:pStyle w:val="3"/>
              <w:spacing w:after="0" w:line="520" w:lineRule="exact"/>
              <w:ind w:firstLine="643" w:firstLineChars="200"/>
              <w:rPr>
                <w:rFonts w:eastAsia="楷体_GB2312"/>
                <w:color w:val="000000" w:themeColor="text1"/>
                <w:kern w:val="0"/>
                <w:sz w:val="32"/>
                <w:szCs w:val="48"/>
              </w:rPr>
            </w:pPr>
            <w:r>
              <w:rPr>
                <w:rFonts w:eastAsia="楷体_GB2312"/>
                <w:b/>
                <w:bCs/>
                <w:color w:val="000000" w:themeColor="text1"/>
                <w:kern w:val="0"/>
                <w:sz w:val="32"/>
                <w:szCs w:val="48"/>
              </w:rPr>
              <w:t>（</w:t>
            </w:r>
            <w:r>
              <w:rPr>
                <w:rFonts w:hint="eastAsia" w:eastAsia="楷体_GB2312"/>
                <w:b/>
                <w:bCs/>
                <w:color w:val="000000" w:themeColor="text1"/>
                <w:kern w:val="0"/>
                <w:sz w:val="32"/>
                <w:szCs w:val="48"/>
              </w:rPr>
              <w:t>3</w:t>
            </w:r>
            <w:r>
              <w:rPr>
                <w:rFonts w:eastAsia="楷体_GB2312"/>
                <w:b/>
                <w:bCs/>
                <w:color w:val="000000" w:themeColor="text1"/>
                <w:kern w:val="0"/>
                <w:sz w:val="32"/>
                <w:szCs w:val="48"/>
              </w:rPr>
              <w:t>）黑白家电：</w:t>
            </w:r>
            <w:r>
              <w:rPr>
                <w:rFonts w:eastAsia="楷体_GB2312"/>
                <w:color w:val="000000" w:themeColor="text1"/>
                <w:kern w:val="0"/>
                <w:sz w:val="32"/>
                <w:szCs w:val="48"/>
              </w:rPr>
              <w:t>黑白家电生产关键节点及测试定制机器人应用，智能车间（工厂）设，智能家电云服务平台建设。</w:t>
            </w:r>
            <w:r>
              <w:rPr>
                <w:rFonts w:hint="eastAsia" w:eastAsia="楷体_GB2312"/>
                <w:color w:val="000000" w:themeColor="text1"/>
                <w:kern w:val="0"/>
                <w:sz w:val="32"/>
                <w:szCs w:val="48"/>
              </w:rPr>
              <w:t>结合5G网络发展和个性化消费需求趋势，支持电子信息制造企业转型开发智能传感器与NB-IoT、LTE CAT1、5G等无线终端模组深度融合的新型电子元件，支撑新型智能终端与信息消费、大数据的紧密结合。</w:t>
            </w:r>
          </w:p>
          <w:p>
            <w:pPr>
              <w:pStyle w:val="3"/>
              <w:spacing w:after="0" w:line="520" w:lineRule="exact"/>
              <w:ind w:firstLine="643" w:firstLineChars="200"/>
              <w:rPr>
                <w:rFonts w:eastAsia="楷体_GB2312"/>
                <w:color w:val="000000" w:themeColor="text1"/>
                <w:kern w:val="0"/>
                <w:sz w:val="32"/>
                <w:szCs w:val="48"/>
              </w:rPr>
            </w:pPr>
            <w:r>
              <w:rPr>
                <w:rFonts w:eastAsia="楷体_GB2312"/>
                <w:b/>
                <w:bCs/>
                <w:color w:val="000000" w:themeColor="text1"/>
                <w:kern w:val="0"/>
                <w:sz w:val="32"/>
                <w:szCs w:val="48"/>
              </w:rPr>
              <w:t>（</w:t>
            </w:r>
            <w:r>
              <w:rPr>
                <w:rFonts w:hint="eastAsia" w:eastAsia="楷体_GB2312"/>
                <w:b/>
                <w:bCs/>
                <w:color w:val="000000" w:themeColor="text1"/>
                <w:kern w:val="0"/>
                <w:sz w:val="32"/>
                <w:szCs w:val="48"/>
              </w:rPr>
              <w:t>4</w:t>
            </w:r>
            <w:r>
              <w:rPr>
                <w:rFonts w:eastAsia="楷体_GB2312"/>
                <w:b/>
                <w:bCs/>
                <w:color w:val="000000" w:themeColor="text1"/>
                <w:kern w:val="0"/>
                <w:sz w:val="32"/>
                <w:szCs w:val="48"/>
              </w:rPr>
              <w:t>）板材家具：</w:t>
            </w:r>
            <w:r>
              <w:rPr>
                <w:rFonts w:eastAsia="楷体_GB2312"/>
                <w:color w:val="000000" w:themeColor="text1"/>
                <w:kern w:val="0"/>
                <w:sz w:val="32"/>
                <w:szCs w:val="48"/>
              </w:rPr>
              <w:t>3D打印技术在家具及零件制造中的应用，定制家具模块化生产，</w:t>
            </w:r>
            <w:r>
              <w:rPr>
                <w:rFonts w:hint="eastAsia" w:eastAsia="楷体_GB2312"/>
                <w:color w:val="000000" w:themeColor="text1"/>
                <w:kern w:val="0"/>
                <w:sz w:val="32"/>
                <w:szCs w:val="48"/>
              </w:rPr>
              <w:t>智能</w:t>
            </w:r>
            <w:r>
              <w:rPr>
                <w:rFonts w:eastAsia="楷体_GB2312"/>
                <w:color w:val="000000" w:themeColor="text1"/>
                <w:kern w:val="0"/>
                <w:sz w:val="32"/>
                <w:szCs w:val="48"/>
              </w:rPr>
              <w:t>工厂建设。</w:t>
            </w:r>
          </w:p>
          <w:p>
            <w:pPr>
              <w:pStyle w:val="3"/>
              <w:spacing w:after="0" w:line="520" w:lineRule="exact"/>
              <w:ind w:firstLine="643" w:firstLineChars="200"/>
              <w:rPr>
                <w:rFonts w:eastAsia="楷体_GB2312"/>
                <w:color w:val="000000" w:themeColor="text1"/>
                <w:kern w:val="0"/>
                <w:sz w:val="32"/>
                <w:szCs w:val="48"/>
              </w:rPr>
            </w:pPr>
            <w:r>
              <w:rPr>
                <w:rFonts w:eastAsia="楷体_GB2312"/>
                <w:b/>
                <w:bCs/>
                <w:color w:val="000000" w:themeColor="text1"/>
                <w:kern w:val="0"/>
                <w:sz w:val="32"/>
                <w:szCs w:val="48"/>
              </w:rPr>
              <w:t>（</w:t>
            </w:r>
            <w:r>
              <w:rPr>
                <w:rFonts w:hint="eastAsia" w:eastAsia="楷体_GB2312"/>
                <w:b/>
                <w:bCs/>
                <w:color w:val="000000" w:themeColor="text1"/>
                <w:kern w:val="0"/>
                <w:sz w:val="32"/>
                <w:szCs w:val="48"/>
              </w:rPr>
              <w:t>5</w:t>
            </w:r>
            <w:r>
              <w:rPr>
                <w:rFonts w:eastAsia="楷体_GB2312"/>
                <w:b/>
                <w:bCs/>
                <w:color w:val="000000" w:themeColor="text1"/>
                <w:kern w:val="0"/>
                <w:sz w:val="32"/>
                <w:szCs w:val="48"/>
              </w:rPr>
              <w:t>）五金水暖制品：</w:t>
            </w:r>
            <w:r>
              <w:rPr>
                <w:rFonts w:eastAsia="楷体_GB2312"/>
                <w:color w:val="000000" w:themeColor="text1"/>
                <w:kern w:val="0"/>
                <w:sz w:val="32"/>
                <w:szCs w:val="48"/>
              </w:rPr>
              <w:t>卫浴等产品砂光、抛光机器人应用，多机器人协同智能装配与检测。</w:t>
            </w:r>
          </w:p>
          <w:p>
            <w:pPr>
              <w:pStyle w:val="3"/>
              <w:spacing w:after="0" w:line="520" w:lineRule="exact"/>
              <w:ind w:firstLine="643" w:firstLineChars="200"/>
              <w:rPr>
                <w:rFonts w:ascii="仿宋_GB2312" w:hAnsi="仿宋_GB2312" w:eastAsia="仿宋_GB2312" w:cs="楷体_GB2312"/>
                <w:color w:val="000000" w:themeColor="text1"/>
                <w:kern w:val="0"/>
                <w:sz w:val="32"/>
                <w:szCs w:val="48"/>
              </w:rPr>
            </w:pPr>
            <w:r>
              <w:rPr>
                <w:rFonts w:hint="eastAsia" w:eastAsia="楷体_GB2312"/>
                <w:b/>
                <w:bCs/>
                <w:color w:val="000000" w:themeColor="text1"/>
                <w:kern w:val="0"/>
                <w:sz w:val="32"/>
                <w:szCs w:val="48"/>
              </w:rPr>
              <w:t>（6）中医药：</w:t>
            </w:r>
            <w:r>
              <w:rPr>
                <w:rFonts w:hint="eastAsia" w:eastAsia="楷体_GB2312"/>
                <w:color w:val="000000" w:themeColor="text1"/>
                <w:kern w:val="0"/>
                <w:sz w:val="32"/>
                <w:szCs w:val="48"/>
              </w:rPr>
              <w:t>以高端智能制造赋能中医药生产流程，实现100%数字化，全流程信息可追溯，通过“产业大脑+未来工厂”建设“一站式”高科技药事服务平台。发挥玉林市先进装备制造产业和先进新材料产业基础，加大对制药装备的开发、研究和应用，提高制药装备的生产效率、性能功能以及自动化、数字化水平，提高中医药产业的智能化水平。</w:t>
            </w:r>
          </w:p>
        </w:tc>
      </w:tr>
    </w:tbl>
    <w:p>
      <w:pPr>
        <w:pStyle w:val="6"/>
        <w:spacing w:before="0" w:after="0" w:line="600" w:lineRule="exact"/>
        <w:ind w:firstLine="643" w:firstLineChars="200"/>
        <w:rPr>
          <w:rFonts w:eastAsia="楷体_GB2312"/>
          <w:color w:val="000000" w:themeColor="text1"/>
        </w:rPr>
      </w:pPr>
      <w:bookmarkStart w:id="58" w:name="_Toc93409999"/>
      <w:r>
        <w:rPr>
          <w:rFonts w:eastAsia="楷体_GB2312"/>
          <w:color w:val="000000" w:themeColor="text1"/>
        </w:rPr>
        <w:t>5.</w:t>
      </w:r>
      <w:bookmarkEnd w:id="56"/>
      <w:r>
        <w:rPr>
          <w:rFonts w:hint="eastAsia" w:eastAsia="楷体_GB2312"/>
          <w:color w:val="000000" w:themeColor="text1"/>
        </w:rPr>
        <w:t>加快特色农业数字化发展</w:t>
      </w:r>
      <w:bookmarkEnd w:id="58"/>
    </w:p>
    <w:p>
      <w:pPr>
        <w:pStyle w:val="3"/>
        <w:spacing w:after="0" w:line="600" w:lineRule="exact"/>
        <w:ind w:firstLine="643" w:firstLineChars="200"/>
        <w:rPr>
          <w:rFonts w:eastAsia="仿宋_GB2312"/>
          <w:color w:val="000000" w:themeColor="text1"/>
          <w:sz w:val="32"/>
          <w:szCs w:val="48"/>
        </w:rPr>
      </w:pPr>
      <w:r>
        <w:rPr>
          <w:rFonts w:hint="eastAsia" w:ascii="楷体_GB2312" w:hAnsi="楷体_GB2312" w:eastAsia="楷体_GB2312" w:cs="楷体_GB2312"/>
          <w:b/>
          <w:bCs/>
          <w:color w:val="000000" w:themeColor="text1"/>
          <w:sz w:val="32"/>
          <w:szCs w:val="48"/>
        </w:rPr>
        <w:t>推进农业生产智慧化。</w:t>
      </w:r>
      <w:r>
        <w:rPr>
          <w:rFonts w:hint="eastAsia" w:ascii="仿宋_GB2312" w:hAnsi="楷体_GB2312" w:eastAsia="仿宋_GB2312" w:cs="楷体_GB2312"/>
          <w:color w:val="000000" w:themeColor="text1"/>
          <w:sz w:val="32"/>
          <w:szCs w:val="48"/>
        </w:rPr>
        <w:t>加快新一代信息技术在农业领域的应用，围绕优质稻、沙田柚、荔枝、沃柑、橘红、百香果、菠萝蜜、三黄鸡、陆川猪、香蒜、林特产品等玉林优势特色产业，依托容县金喜农业开发有限公司、广西中柚食品集团有限公司、广西参皇养殖集团有限公司等农业产业化重点龙头企业大力发展智慧农业，推动农业全链条科技化改造，加快推动物联网、大数据、</w:t>
      </w:r>
      <w:r>
        <w:rPr>
          <w:rFonts w:eastAsia="仿宋_GB2312"/>
          <w:color w:val="000000" w:themeColor="text1"/>
          <w:sz w:val="32"/>
          <w:szCs w:val="48"/>
        </w:rPr>
        <w:t>5G</w:t>
      </w:r>
      <w:r>
        <w:rPr>
          <w:rFonts w:hint="eastAsia" w:ascii="仿宋_GB2312" w:hAnsi="楷体_GB2312" w:eastAsia="仿宋_GB2312" w:cs="楷体_GB2312"/>
          <w:color w:val="000000" w:themeColor="text1"/>
          <w:sz w:val="32"/>
          <w:szCs w:val="48"/>
        </w:rPr>
        <w:t>、人工智能等新一代信息技术与传统农业生产过程深度融合和应用。着力建设一批数字农业试点，以高品质、高精度、高可靠性、低功耗的农业生产环境和动植物生理体征专用传感器为应用重点，获取农业高通量信息，为农户提供农业地块精细提取、耕地质量监测、作物长势及生长环境持续监测、重大动植物疫情防控、灾害预警、农情信息动态等服务，精准指导农业生产。</w:t>
      </w:r>
      <w:r>
        <w:rPr>
          <w:rFonts w:eastAsia="仿宋_GB2312"/>
          <w:color w:val="000000" w:themeColor="text1"/>
          <w:sz w:val="32"/>
          <w:szCs w:val="48"/>
        </w:rPr>
        <w:t>到2025年，建设10个数字化现代特色农林业示范园区，并获得广西智慧农业示范基地认定。</w:t>
      </w:r>
    </w:p>
    <w:p>
      <w:pPr>
        <w:pStyle w:val="3"/>
        <w:spacing w:after="0" w:line="600" w:lineRule="exact"/>
        <w:ind w:firstLine="643" w:firstLineChars="200"/>
        <w:rPr>
          <w:rFonts w:ascii="仿宋_GB2312" w:hAnsi="楷体_GB2312" w:eastAsia="仿宋_GB2312" w:cs="楷体_GB2312"/>
          <w:color w:val="000000" w:themeColor="text1"/>
          <w:sz w:val="32"/>
          <w:szCs w:val="48"/>
        </w:rPr>
      </w:pPr>
      <w:r>
        <w:rPr>
          <w:rFonts w:ascii="楷体_GB2312" w:hAnsi="楷体_GB2312" w:eastAsia="楷体_GB2312" w:cs="楷体_GB2312"/>
          <w:b/>
          <w:bCs/>
          <w:color w:val="000000" w:themeColor="text1"/>
          <w:sz w:val="32"/>
          <w:szCs w:val="48"/>
        </w:rPr>
        <w:t>打造智慧农业农村“一张图”</w:t>
      </w:r>
      <w:r>
        <w:rPr>
          <w:rFonts w:hint="eastAsia" w:ascii="楷体_GB2312" w:hAnsi="楷体_GB2312" w:eastAsia="楷体_GB2312" w:cs="楷体_GB2312"/>
          <w:b/>
          <w:bCs/>
          <w:color w:val="000000" w:themeColor="text1"/>
          <w:sz w:val="32"/>
          <w:szCs w:val="48"/>
        </w:rPr>
        <w:t>。</w:t>
      </w:r>
      <w:r>
        <w:rPr>
          <w:rFonts w:hint="eastAsia" w:ascii="仿宋_GB2312" w:hAnsi="楷体_GB2312" w:eastAsia="仿宋_GB2312" w:cs="楷体_GB2312"/>
          <w:color w:val="000000" w:themeColor="text1"/>
          <w:sz w:val="32"/>
          <w:szCs w:val="48"/>
        </w:rPr>
        <w:t>整合涉农信息资源，以行政区划、卫星影像、土地利用现状、土壤资源、耕地资源、农产品质量安全、现代农业等数据为基础，集种植业、畜牧业、扶贫建设、农用地面积及变化、农业机械化、新农村建设、农产品质量安全、农业数据统计等数据为一体的数据中心，打造“一个平台、</w:t>
      </w:r>
      <w:r>
        <w:rPr>
          <w:rFonts w:eastAsia="仿宋_GB2312"/>
          <w:color w:val="000000" w:themeColor="text1"/>
          <w:sz w:val="32"/>
          <w:szCs w:val="48"/>
        </w:rPr>
        <w:t>N</w:t>
      </w:r>
      <w:r>
        <w:rPr>
          <w:rFonts w:hint="eastAsia" w:ascii="仿宋_GB2312" w:hAnsi="楷体_GB2312" w:eastAsia="仿宋_GB2312" w:cs="楷体_GB2312"/>
          <w:color w:val="000000" w:themeColor="text1"/>
          <w:sz w:val="32"/>
          <w:szCs w:val="48"/>
        </w:rPr>
        <w:t>个应用”的农业农村大数据平台，实现种植和养殖业产品的生产、加工、仓储、物流、销售的全生命周期管理，农产品安全质量追溯监管以及数字乡村的建设等应用，形成玉林“农业农村一张图”。</w:t>
      </w:r>
    </w:p>
    <w:p>
      <w:pPr>
        <w:pStyle w:val="3"/>
        <w:spacing w:after="0" w:line="600" w:lineRule="exact"/>
        <w:ind w:firstLine="643" w:firstLineChars="200"/>
        <w:rPr>
          <w:color w:val="000000" w:themeColor="text1"/>
        </w:rPr>
      </w:pPr>
      <w:r>
        <w:rPr>
          <w:rFonts w:hint="eastAsia" w:ascii="楷体_GB2312" w:hAnsi="楷体_GB2312" w:eastAsia="楷体_GB2312" w:cs="楷体_GB2312"/>
          <w:b/>
          <w:bCs/>
          <w:color w:val="000000" w:themeColor="text1"/>
          <w:sz w:val="32"/>
          <w:szCs w:val="48"/>
        </w:rPr>
        <w:t>拓展“互联网+”农产品新模式。</w:t>
      </w:r>
      <w:r>
        <w:rPr>
          <w:rFonts w:hint="eastAsia" w:ascii="仿宋_GB2312" w:hAnsi="楷体_GB2312" w:eastAsia="仿宋_GB2312" w:cs="楷体_GB2312"/>
          <w:color w:val="000000" w:themeColor="text1"/>
          <w:sz w:val="32"/>
          <w:szCs w:val="48"/>
        </w:rPr>
        <w:t>加强农产品电商品牌培育，完善农村电商供应链和溯源体系，优化农村电商公共服务体系，探索开展农村新零售。健全农产品产销一体化信息系统，加快发展与电商配套的冷链物流体系、智能仓储设施、城乡配送网点。推动农副产品专业市场的分级包装、加工整理、检验检测、冷藏保鲜、物流配送、冷库等设施建设，提升市场服务功能，提高市场管理水平，不断完善布局合理、产销结合、农超对接的农资和农产品流通网络体系。建设农业大数据云服务平台，将农产品生产、流通、销售等过程信息进行数字化归集处理，实现玉林特色农产品一物一码的全流程正品追溯，协同自治区加快完善“广西好</w:t>
      </w:r>
      <w:r>
        <w:rPr>
          <w:rFonts w:hint="eastAsia" w:ascii="微软雅黑" w:hAnsi="微软雅黑" w:eastAsia="微软雅黑" w:cs="微软雅黑"/>
          <w:color w:val="000000" w:themeColor="text1"/>
          <w:sz w:val="32"/>
          <w:szCs w:val="48"/>
        </w:rPr>
        <w:t>嘢</w:t>
      </w:r>
      <w:r>
        <w:rPr>
          <w:rFonts w:hint="eastAsia" w:ascii="仿宋_GB2312" w:hAnsi="仿宋_GB2312" w:eastAsia="仿宋_GB2312" w:cs="仿宋_GB2312"/>
          <w:color w:val="000000" w:themeColor="text1"/>
          <w:sz w:val="32"/>
          <w:szCs w:val="48"/>
        </w:rPr>
        <w:t>”“桂字号”农业品牌农产品标准化和追溯体系</w:t>
      </w:r>
      <w:r>
        <w:rPr>
          <w:rFonts w:hint="eastAsia" w:ascii="仿宋_GB2312" w:hAnsi="楷体_GB2312" w:eastAsia="仿宋_GB2312" w:cs="楷体_GB2312"/>
          <w:color w:val="000000" w:themeColor="text1"/>
          <w:sz w:val="32"/>
          <w:szCs w:val="48"/>
        </w:rPr>
        <w:t>。重点支持陆川县、兴业县、容县等地农村电子商务发展，聚焦玉林特色农（副）产品，实施电子商务进农村综合示范工程，充分运用淘宝、天猫、京东、拼多多等电商平台及抖音等直播平台，对本地特色农产品进行线上推广。</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33"/>
              <w:spacing w:before="0" w:after="0" w:line="600" w:lineRule="exact"/>
              <w:jc w:val="center"/>
              <w:rPr>
                <w:color w:val="000000" w:themeColor="text1"/>
              </w:rPr>
            </w:pPr>
            <w:r>
              <w:rPr>
                <w:rFonts w:hint="eastAsia" w:ascii="黑体" w:hAnsi="黑体" w:eastAsia="黑体"/>
                <w:color w:val="000000" w:themeColor="text1"/>
                <w:kern w:val="21"/>
                <w:sz w:val="30"/>
                <w:szCs w:val="30"/>
              </w:rPr>
              <w:t>专栏</w:t>
            </w:r>
            <w:r>
              <w:rPr>
                <w:rFonts w:ascii="黑体" w:hAnsi="黑体" w:eastAsia="黑体"/>
                <w:color w:val="000000" w:themeColor="text1"/>
                <w:kern w:val="21"/>
                <w:sz w:val="30"/>
                <w:szCs w:val="30"/>
              </w:rPr>
              <w:t>8</w:t>
            </w:r>
            <w:r>
              <w:rPr>
                <w:rFonts w:hint="eastAsia" w:ascii="黑体" w:hAnsi="黑体" w:eastAsia="黑体"/>
                <w:color w:val="000000" w:themeColor="text1"/>
                <w:kern w:val="21"/>
                <w:sz w:val="30"/>
                <w:szCs w:val="30"/>
              </w:rPr>
              <w:t xml:space="preserve"> 农业数字化提升工程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20" w:lineRule="exact"/>
              <w:ind w:firstLine="602" w:firstLineChars="200"/>
              <w:rPr>
                <w:rFonts w:ascii="楷体_GB2312" w:hAnsi="楷体_GB2312" w:eastAsia="楷体_GB2312"/>
                <w:b/>
                <w:bCs/>
                <w:color w:val="000000" w:themeColor="text1"/>
                <w:kern w:val="0"/>
                <w:sz w:val="30"/>
                <w:szCs w:val="30"/>
              </w:rPr>
            </w:pPr>
            <w:r>
              <w:rPr>
                <w:rFonts w:eastAsia="楷体_GB2312"/>
                <w:b/>
                <w:bCs/>
                <w:color w:val="000000" w:themeColor="text1"/>
                <w:kern w:val="0"/>
                <w:sz w:val="30"/>
                <w:szCs w:val="30"/>
              </w:rPr>
              <w:t>（1）</w:t>
            </w:r>
            <w:r>
              <w:rPr>
                <w:rFonts w:hint="eastAsia" w:ascii="楷体_GB2312" w:hAnsi="楷体_GB2312" w:eastAsia="楷体_GB2312"/>
                <w:b/>
                <w:bCs/>
                <w:color w:val="000000" w:themeColor="text1"/>
                <w:kern w:val="0"/>
                <w:sz w:val="30"/>
                <w:szCs w:val="30"/>
              </w:rPr>
              <w:t>“互联网+”农产品出村进城工程：</w:t>
            </w:r>
            <w:r>
              <w:rPr>
                <w:rFonts w:hint="eastAsia" w:ascii="楷体_GB2312" w:hAnsi="楷体_GB2312" w:eastAsia="楷体_GB2312"/>
                <w:color w:val="000000" w:themeColor="text1"/>
                <w:kern w:val="0"/>
                <w:sz w:val="30"/>
                <w:szCs w:val="30"/>
              </w:rPr>
              <w:t>落实自治区实施“桂品出乡”行动，持续推进“电子商务进农村综合示范”项目建设，发挥“互联网+”在推进农产品生产、加工、储运、销售各环节高效协同和产业化运营中的作用，建立县、乡、村三级农产品网络销售服务体系，大力宣传玉林“岭南都会”区域性促销活动，建设广西直播带货基地，发展直播电商、短视频带货等新模式、新业态。</w:t>
            </w:r>
          </w:p>
          <w:p>
            <w:pPr>
              <w:spacing w:line="520" w:lineRule="exact"/>
              <w:ind w:firstLine="602" w:firstLineChars="200"/>
              <w:rPr>
                <w:rFonts w:ascii="楷体_GB2312" w:hAnsi="楷体_GB2312" w:eastAsia="楷体_GB2312"/>
                <w:color w:val="000000" w:themeColor="text1"/>
                <w:kern w:val="0"/>
                <w:sz w:val="30"/>
                <w:szCs w:val="30"/>
              </w:rPr>
            </w:pPr>
            <w:r>
              <w:rPr>
                <w:rFonts w:eastAsia="楷体_GB2312"/>
                <w:b/>
                <w:bCs/>
                <w:color w:val="000000" w:themeColor="text1"/>
                <w:kern w:val="0"/>
                <w:sz w:val="30"/>
                <w:szCs w:val="30"/>
              </w:rPr>
              <w:t>（2）</w:t>
            </w:r>
            <w:r>
              <w:rPr>
                <w:rFonts w:ascii="楷体_GB2312" w:hAnsi="楷体_GB2312" w:eastAsia="楷体_GB2312"/>
                <w:b/>
                <w:bCs/>
                <w:color w:val="000000" w:themeColor="text1"/>
                <w:kern w:val="0"/>
                <w:sz w:val="30"/>
                <w:szCs w:val="30"/>
              </w:rPr>
              <w:t>推进农业生产数字化</w:t>
            </w:r>
            <w:r>
              <w:rPr>
                <w:rFonts w:hint="eastAsia" w:ascii="楷体_GB2312" w:hAnsi="楷体_GB2312" w:eastAsia="楷体_GB2312"/>
                <w:b/>
                <w:bCs/>
                <w:color w:val="000000" w:themeColor="text1"/>
                <w:kern w:val="0"/>
                <w:sz w:val="30"/>
                <w:szCs w:val="30"/>
              </w:rPr>
              <w:t>：</w:t>
            </w:r>
            <w:r>
              <w:rPr>
                <w:rFonts w:hint="eastAsia" w:ascii="楷体_GB2312" w:hAnsi="楷体_GB2312" w:eastAsia="楷体_GB2312"/>
                <w:color w:val="000000" w:themeColor="text1"/>
                <w:kern w:val="0"/>
                <w:sz w:val="30"/>
                <w:szCs w:val="30"/>
              </w:rPr>
              <w:t>健全农业信息监测预警和服务体系，提高农业生产全过程信息管理服务能力。建设农业物联网基地，打造玉林农产品质量安全溯源平台。实施数字化现代特色农业示范区建设工程和农产品网络销售提升工程，</w:t>
            </w:r>
            <w:r>
              <w:rPr>
                <w:rFonts w:ascii="楷体_GB2312" w:hAnsi="楷体_GB2312" w:eastAsia="楷体_GB2312"/>
                <w:color w:val="000000" w:themeColor="text1"/>
                <w:kern w:val="0"/>
                <w:sz w:val="30"/>
                <w:szCs w:val="30"/>
              </w:rPr>
              <w:t>以特色农业为抓手，加快智能装备、技术与种植业、畜牧业、渔业生产及农机作业的深度融合和应用。</w:t>
            </w:r>
          </w:p>
          <w:p>
            <w:pPr>
              <w:spacing w:line="520" w:lineRule="exact"/>
              <w:ind w:firstLine="602" w:firstLineChars="200"/>
              <w:rPr>
                <w:rFonts w:ascii="楷体_GB2312" w:hAnsi="楷体_GB2312" w:eastAsia="楷体_GB2312"/>
                <w:color w:val="000000" w:themeColor="text1"/>
                <w:kern w:val="0"/>
                <w:sz w:val="30"/>
                <w:szCs w:val="30"/>
              </w:rPr>
            </w:pPr>
            <w:r>
              <w:rPr>
                <w:rFonts w:hint="eastAsia" w:ascii="宋体" w:hAnsi="宋体" w:cs="宋体"/>
                <w:b/>
                <w:bCs/>
                <w:color w:val="000000" w:themeColor="text1"/>
                <w:kern w:val="0"/>
                <w:sz w:val="30"/>
                <w:szCs w:val="30"/>
              </w:rPr>
              <w:t>①</w:t>
            </w:r>
            <w:r>
              <w:rPr>
                <w:rFonts w:eastAsia="楷体_GB2312"/>
                <w:b/>
                <w:bCs/>
                <w:color w:val="000000" w:themeColor="text1"/>
                <w:kern w:val="0"/>
                <w:sz w:val="30"/>
                <w:szCs w:val="30"/>
              </w:rPr>
              <w:t xml:space="preserve">智慧种植 </w:t>
            </w:r>
            <w:r>
              <w:rPr>
                <w:rFonts w:hint="eastAsia" w:ascii="楷体_GB2312" w:hAnsi="楷体_GB2312" w:eastAsia="楷体_GB2312"/>
                <w:color w:val="000000" w:themeColor="text1"/>
                <w:kern w:val="0"/>
                <w:sz w:val="30"/>
                <w:szCs w:val="30"/>
              </w:rPr>
              <w:t>积极引进、消化、创新水肥一体化、自动喷滴灌、自动采摘等自动化、智能化系统和数字设备，开展工厂化、智能化和标准化生产。</w:t>
            </w:r>
          </w:p>
          <w:p>
            <w:pPr>
              <w:spacing w:line="520" w:lineRule="exact"/>
              <w:ind w:firstLine="602" w:firstLineChars="200"/>
              <w:rPr>
                <w:rFonts w:ascii="楷体_GB2312" w:hAnsi="楷体_GB2312" w:eastAsia="楷体_GB2312"/>
                <w:color w:val="000000" w:themeColor="text1"/>
                <w:kern w:val="0"/>
                <w:sz w:val="30"/>
                <w:szCs w:val="30"/>
              </w:rPr>
            </w:pPr>
            <w:r>
              <w:rPr>
                <w:rFonts w:hint="eastAsia" w:ascii="宋体" w:hAnsi="宋体" w:cs="宋体"/>
                <w:b/>
                <w:bCs/>
                <w:color w:val="000000" w:themeColor="text1"/>
                <w:kern w:val="0"/>
                <w:sz w:val="30"/>
                <w:szCs w:val="30"/>
              </w:rPr>
              <w:t>②</w:t>
            </w:r>
            <w:r>
              <w:rPr>
                <w:rFonts w:eastAsia="楷体_GB2312"/>
                <w:b/>
                <w:bCs/>
                <w:color w:val="000000" w:themeColor="text1"/>
                <w:kern w:val="0"/>
                <w:sz w:val="30"/>
                <w:szCs w:val="30"/>
              </w:rPr>
              <w:t xml:space="preserve">智慧畜牧 </w:t>
            </w:r>
            <w:r>
              <w:rPr>
                <w:rFonts w:hint="eastAsia" w:ascii="楷体_GB2312" w:hAnsi="楷体_GB2312" w:eastAsia="楷体_GB2312"/>
                <w:color w:val="000000" w:themeColor="text1"/>
                <w:kern w:val="0"/>
                <w:sz w:val="30"/>
                <w:szCs w:val="30"/>
              </w:rPr>
              <w:t>推动二维码等技术和装备在智慧畜牧试点畜禽养殖基地和场区集成应用，积极引进通风温控、精准上料、粪污处理等数字化系统和装备，实现畜禽养殖环境智能监控和精准饲喂。</w:t>
            </w:r>
          </w:p>
          <w:p>
            <w:pPr>
              <w:spacing w:line="520" w:lineRule="exact"/>
              <w:ind w:firstLine="602" w:firstLineChars="200"/>
              <w:rPr>
                <w:rFonts w:ascii="楷体_GB2312" w:hAnsi="楷体_GB2312" w:eastAsia="楷体_GB2312"/>
                <w:color w:val="000000" w:themeColor="text1"/>
                <w:kern w:val="0"/>
                <w:sz w:val="30"/>
                <w:szCs w:val="30"/>
              </w:rPr>
            </w:pPr>
            <w:r>
              <w:rPr>
                <w:rFonts w:hint="eastAsia" w:ascii="宋体" w:hAnsi="宋体" w:cs="宋体"/>
                <w:b/>
                <w:bCs/>
                <w:color w:val="000000" w:themeColor="text1"/>
                <w:kern w:val="0"/>
                <w:sz w:val="30"/>
                <w:szCs w:val="30"/>
              </w:rPr>
              <w:t>③</w:t>
            </w:r>
            <w:r>
              <w:rPr>
                <w:rFonts w:eastAsia="楷体_GB2312"/>
                <w:b/>
                <w:bCs/>
                <w:color w:val="000000" w:themeColor="text1"/>
                <w:kern w:val="0"/>
                <w:sz w:val="30"/>
                <w:szCs w:val="30"/>
              </w:rPr>
              <w:t xml:space="preserve">智慧渔业 </w:t>
            </w:r>
            <w:r>
              <w:rPr>
                <w:rFonts w:hint="eastAsia" w:ascii="楷体_GB2312" w:hAnsi="楷体_GB2312" w:eastAsia="楷体_GB2312"/>
                <w:color w:val="000000" w:themeColor="text1"/>
                <w:kern w:val="0"/>
                <w:sz w:val="30"/>
                <w:szCs w:val="30"/>
              </w:rPr>
              <w:t>推动人工智能、物联网等技术和装备在智慧渔业试点养殖基地集成应用，积极引进水体环境实时监控、自动精准投喂、网箱自动控制等智能化系统和装备，实现水产养殖测控精准化和管理智能化。</w:t>
            </w:r>
          </w:p>
          <w:p>
            <w:pPr>
              <w:spacing w:line="520" w:lineRule="exact"/>
              <w:ind w:firstLine="602" w:firstLineChars="200"/>
              <w:rPr>
                <w:color w:val="000000" w:themeColor="text1"/>
                <w:kern w:val="0"/>
                <w:sz w:val="20"/>
              </w:rPr>
            </w:pPr>
            <w:r>
              <w:rPr>
                <w:rFonts w:hint="eastAsia" w:ascii="宋体" w:hAnsi="宋体" w:cs="宋体"/>
                <w:b/>
                <w:bCs/>
                <w:color w:val="000000" w:themeColor="text1"/>
                <w:kern w:val="0"/>
                <w:sz w:val="30"/>
                <w:szCs w:val="30"/>
              </w:rPr>
              <w:t>④</w:t>
            </w:r>
            <w:r>
              <w:rPr>
                <w:rFonts w:eastAsia="楷体_GB2312"/>
                <w:b/>
                <w:bCs/>
                <w:color w:val="000000" w:themeColor="text1"/>
                <w:kern w:val="0"/>
                <w:sz w:val="30"/>
                <w:szCs w:val="30"/>
              </w:rPr>
              <w:t>农业管理数字化</w:t>
            </w:r>
            <w:r>
              <w:rPr>
                <w:rFonts w:hint="eastAsia" w:eastAsia="楷体_GB2312"/>
                <w:b/>
                <w:bCs/>
                <w:color w:val="000000" w:themeColor="text1"/>
                <w:kern w:val="0"/>
                <w:sz w:val="30"/>
                <w:szCs w:val="30"/>
              </w:rPr>
              <w:t xml:space="preserve"> </w:t>
            </w:r>
            <w:r>
              <w:rPr>
                <w:rFonts w:ascii="楷体_GB2312" w:hAnsi="楷体_GB2312" w:eastAsia="楷体_GB2312"/>
                <w:color w:val="000000" w:themeColor="text1"/>
                <w:kern w:val="0"/>
                <w:sz w:val="30"/>
                <w:szCs w:val="30"/>
              </w:rPr>
              <w:t>建立开放的农业政务管理数据库，整合全市农林、农机、农产品交易等网站和平台，集聚农业管理相关数据，构建农业管理综合信息服务平台，利用大数据进行农业管理科学决策，推进农业经营管理数字化升级。</w:t>
            </w:r>
          </w:p>
        </w:tc>
      </w:tr>
    </w:tbl>
    <w:p>
      <w:pPr>
        <w:pStyle w:val="6"/>
        <w:spacing w:before="0" w:after="0" w:line="600" w:lineRule="exact"/>
        <w:ind w:firstLine="643" w:firstLineChars="200"/>
        <w:rPr>
          <w:rFonts w:eastAsia="楷体_GB2312"/>
          <w:color w:val="000000" w:themeColor="text1"/>
        </w:rPr>
      </w:pPr>
      <w:bookmarkStart w:id="59" w:name="_Toc93410000"/>
      <w:r>
        <w:rPr>
          <w:rFonts w:eastAsia="楷体_GB2312"/>
          <w:color w:val="000000" w:themeColor="text1"/>
        </w:rPr>
        <w:t>6.</w:t>
      </w:r>
      <w:r>
        <w:rPr>
          <w:rFonts w:hint="eastAsia" w:eastAsia="楷体_GB2312"/>
          <w:color w:val="000000" w:themeColor="text1"/>
        </w:rPr>
        <w:t>促进</w:t>
      </w:r>
      <w:r>
        <w:rPr>
          <w:rFonts w:eastAsia="楷体_GB2312"/>
          <w:color w:val="000000" w:themeColor="text1"/>
        </w:rPr>
        <w:t>服务业数字化</w:t>
      </w:r>
      <w:r>
        <w:rPr>
          <w:rFonts w:hint="eastAsia" w:eastAsia="楷体_GB2312"/>
          <w:color w:val="000000" w:themeColor="text1"/>
        </w:rPr>
        <w:t>升级</w:t>
      </w:r>
      <w:bookmarkEnd w:id="59"/>
    </w:p>
    <w:p>
      <w:pPr>
        <w:pStyle w:val="2"/>
        <w:spacing w:after="0" w:line="600" w:lineRule="exact"/>
        <w:ind w:firstLine="643" w:firstLineChars="200"/>
        <w:rPr>
          <w:rFonts w:ascii="仿宋_GB2312" w:hAnsi="仿宋" w:eastAsia="仿宋_GB2312"/>
          <w:color w:val="000000" w:themeColor="text1"/>
          <w:kern w:val="0"/>
          <w:sz w:val="32"/>
          <w:szCs w:val="32"/>
        </w:rPr>
      </w:pPr>
      <w:r>
        <w:rPr>
          <w:rFonts w:hint="eastAsia" w:ascii="楷体_GB2312" w:hAnsi="楷体_GB2312" w:eastAsia="楷体_GB2312"/>
          <w:b/>
          <w:bCs/>
          <w:color w:val="000000" w:themeColor="text1"/>
          <w:kern w:val="0"/>
          <w:sz w:val="32"/>
          <w:szCs w:val="32"/>
        </w:rPr>
        <w:t>推进“电商玉林”建设。</w:t>
      </w:r>
      <w:r>
        <w:rPr>
          <w:rFonts w:ascii="仿宋_GB2312" w:hAnsi="仿宋" w:eastAsia="仿宋_GB2312"/>
          <w:color w:val="000000" w:themeColor="text1"/>
          <w:kern w:val="0"/>
          <w:sz w:val="32"/>
          <w:szCs w:val="32"/>
        </w:rPr>
        <w:t>加强与国内外电商龙头企业合作，</w:t>
      </w:r>
      <w:r>
        <w:rPr>
          <w:rFonts w:hint="eastAsia" w:ascii="仿宋_GB2312" w:hAnsi="仿宋" w:eastAsia="仿宋_GB2312"/>
          <w:color w:val="000000" w:themeColor="text1"/>
          <w:kern w:val="0"/>
          <w:sz w:val="32"/>
          <w:szCs w:val="32"/>
        </w:rPr>
        <w:t>培育壮大一批电子商务平台和示范企业，</w:t>
      </w:r>
      <w:r>
        <w:rPr>
          <w:rFonts w:ascii="仿宋_GB2312" w:hAnsi="仿宋" w:eastAsia="仿宋_GB2312"/>
          <w:color w:val="000000" w:themeColor="text1"/>
          <w:kern w:val="0"/>
          <w:sz w:val="32"/>
          <w:szCs w:val="32"/>
        </w:rPr>
        <w:t>依托</w:t>
      </w:r>
      <w:r>
        <w:rPr>
          <w:rFonts w:hint="eastAsia" w:ascii="仿宋_GB2312" w:hAnsi="仿宋" w:eastAsia="仿宋_GB2312"/>
          <w:color w:val="000000" w:themeColor="text1"/>
          <w:kern w:val="0"/>
          <w:sz w:val="32"/>
          <w:szCs w:val="32"/>
        </w:rPr>
        <w:t>内燃机制造</w:t>
      </w:r>
      <w:r>
        <w:rPr>
          <w:rFonts w:ascii="仿宋_GB2312" w:hAnsi="仿宋" w:eastAsia="仿宋_GB2312"/>
          <w:color w:val="000000" w:themeColor="text1"/>
          <w:kern w:val="0"/>
          <w:sz w:val="32"/>
          <w:szCs w:val="32"/>
        </w:rPr>
        <w:t>、装备制造、新材料等产业集群，</w:t>
      </w:r>
      <w:r>
        <w:rPr>
          <w:rFonts w:eastAsia="仿宋_GB2312"/>
          <w:color w:val="000000" w:themeColor="text1"/>
          <w:kern w:val="0"/>
          <w:sz w:val="32"/>
          <w:szCs w:val="32"/>
        </w:rPr>
        <w:t>发展B2B电子商</w:t>
      </w:r>
      <w:r>
        <w:rPr>
          <w:rFonts w:ascii="仿宋_GB2312" w:hAnsi="仿宋" w:eastAsia="仿宋_GB2312"/>
          <w:color w:val="000000" w:themeColor="text1"/>
          <w:kern w:val="0"/>
          <w:sz w:val="32"/>
          <w:szCs w:val="32"/>
        </w:rPr>
        <w:t>务，整合行业上下游资源，依托</w:t>
      </w:r>
      <w:r>
        <w:rPr>
          <w:rFonts w:hint="eastAsia" w:ascii="仿宋_GB2312" w:hAnsi="仿宋" w:eastAsia="仿宋_GB2312"/>
          <w:color w:val="000000" w:themeColor="text1"/>
          <w:kern w:val="0"/>
          <w:sz w:val="32"/>
          <w:szCs w:val="32"/>
        </w:rPr>
        <w:t>特色农产品</w:t>
      </w:r>
      <w:r>
        <w:rPr>
          <w:rFonts w:ascii="仿宋_GB2312" w:hAnsi="仿宋" w:eastAsia="仿宋_GB2312"/>
          <w:color w:val="000000" w:themeColor="text1"/>
          <w:kern w:val="0"/>
          <w:sz w:val="32"/>
          <w:szCs w:val="32"/>
        </w:rPr>
        <w:t>、大健康</w:t>
      </w:r>
      <w:r>
        <w:rPr>
          <w:rFonts w:hint="eastAsia" w:ascii="仿宋_GB2312" w:hAnsi="仿宋" w:eastAsia="仿宋_GB2312"/>
          <w:color w:val="000000" w:themeColor="text1"/>
          <w:kern w:val="0"/>
          <w:sz w:val="32"/>
          <w:szCs w:val="32"/>
        </w:rPr>
        <w:t>、纺织服装</w:t>
      </w:r>
      <w:r>
        <w:rPr>
          <w:rFonts w:ascii="仿宋_GB2312" w:hAnsi="仿宋" w:eastAsia="仿宋_GB2312"/>
          <w:color w:val="000000" w:themeColor="text1"/>
          <w:kern w:val="0"/>
          <w:sz w:val="32"/>
          <w:szCs w:val="32"/>
        </w:rPr>
        <w:t>等产业集群，</w:t>
      </w:r>
      <w:r>
        <w:rPr>
          <w:rFonts w:hint="eastAsia" w:ascii="仿宋_GB2312" w:hAnsi="仿宋" w:eastAsia="仿宋_GB2312"/>
          <w:color w:val="000000" w:themeColor="text1"/>
          <w:kern w:val="0"/>
          <w:sz w:val="32"/>
          <w:szCs w:val="32"/>
        </w:rPr>
        <w:t>围绕钢材、中药材、香辛料、粮油、农批、服装、肉食品、轻工产品等</w:t>
      </w:r>
      <w:r>
        <w:rPr>
          <w:rFonts w:eastAsia="仿宋_GB2312"/>
          <w:color w:val="000000" w:themeColor="text1"/>
          <w:kern w:val="0"/>
          <w:sz w:val="32"/>
          <w:szCs w:val="32"/>
        </w:rPr>
        <w:t>发展B2C电子</w:t>
      </w:r>
      <w:r>
        <w:rPr>
          <w:rFonts w:ascii="仿宋_GB2312" w:hAnsi="仿宋" w:eastAsia="仿宋_GB2312"/>
          <w:color w:val="000000" w:themeColor="text1"/>
          <w:kern w:val="0"/>
          <w:sz w:val="32"/>
          <w:szCs w:val="32"/>
        </w:rPr>
        <w:t>商务。</w:t>
      </w:r>
      <w:r>
        <w:rPr>
          <w:rFonts w:hint="eastAsia" w:eastAsia="仿宋_GB2312"/>
          <w:color w:val="000000" w:themeColor="text1"/>
          <w:sz w:val="32"/>
          <w:szCs w:val="32"/>
        </w:rPr>
        <w:t>鼓励微商电商、网络直播、短视频平台等新兴业态发展，支持线上龙头企业开展新零售业务，打造若干个新零售智能商圈。</w:t>
      </w:r>
      <w:r>
        <w:rPr>
          <w:rFonts w:ascii="仿宋_GB2312" w:hAnsi="仿宋" w:eastAsia="仿宋_GB2312"/>
          <w:color w:val="000000" w:themeColor="text1"/>
          <w:kern w:val="0"/>
          <w:sz w:val="32"/>
          <w:szCs w:val="32"/>
        </w:rPr>
        <w:t>完善现有电商产业园区、县级电商公共服务中心等电商产业载体的办公、仓储、物流等基础设施，</w:t>
      </w:r>
      <w:r>
        <w:rPr>
          <w:rFonts w:hint="eastAsia" w:ascii="仿宋_GB2312" w:hAnsi="仿宋" w:eastAsia="仿宋_GB2312"/>
          <w:color w:val="000000" w:themeColor="text1"/>
          <w:kern w:val="0"/>
          <w:sz w:val="32"/>
          <w:szCs w:val="32"/>
        </w:rPr>
        <w:t>推进建设中国—东盟中药材交易市场，升级改造玉林宏进农批市场、毅德国际商贸城，规划建设玉林福绵国际电商牛仔轻纺城等高能级平台，</w:t>
      </w:r>
      <w:r>
        <w:rPr>
          <w:rFonts w:ascii="仿宋_GB2312" w:hAnsi="仿宋" w:eastAsia="仿宋_GB2312"/>
          <w:color w:val="000000" w:themeColor="text1"/>
          <w:kern w:val="0"/>
          <w:sz w:val="32"/>
          <w:szCs w:val="32"/>
        </w:rPr>
        <w:t>促进电子商务规模化、集群化发展。</w:t>
      </w:r>
      <w:r>
        <w:rPr>
          <w:rFonts w:hint="eastAsia" w:ascii="仿宋_GB2312" w:hAnsi="仿宋" w:eastAsia="仿宋_GB2312"/>
          <w:color w:val="000000" w:themeColor="text1"/>
          <w:kern w:val="0"/>
          <w:sz w:val="32"/>
          <w:szCs w:val="32"/>
        </w:rPr>
        <w:t>重点打造直播基地，支持建设银丰中药港玉林直播电商城、五彩田园玉林直播学院，发挥玉林大型综合性电商直播基地和孵化平台作用，助力壮大电商产业、加快乡村振兴。</w:t>
      </w:r>
      <w:r>
        <w:rPr>
          <w:rFonts w:ascii="仿宋_GB2312" w:hAnsi="仿宋" w:eastAsia="仿宋_GB2312"/>
          <w:color w:val="000000" w:themeColor="text1"/>
          <w:kern w:val="0"/>
          <w:sz w:val="32"/>
          <w:szCs w:val="32"/>
        </w:rPr>
        <w:t>通过</w:t>
      </w:r>
      <w:r>
        <w:rPr>
          <w:rFonts w:hint="eastAsia" w:ascii="仿宋_GB2312" w:hAnsi="仿宋" w:eastAsia="仿宋_GB2312"/>
          <w:color w:val="000000" w:themeColor="text1"/>
          <w:kern w:val="0"/>
          <w:sz w:val="32"/>
          <w:szCs w:val="32"/>
        </w:rPr>
        <w:t>“</w:t>
      </w:r>
      <w:r>
        <w:rPr>
          <w:rFonts w:ascii="仿宋_GB2312" w:hAnsi="仿宋" w:eastAsia="仿宋_GB2312"/>
          <w:color w:val="000000" w:themeColor="text1"/>
          <w:kern w:val="0"/>
          <w:sz w:val="32"/>
          <w:szCs w:val="32"/>
        </w:rPr>
        <w:t>互联网+外贸+本地制造</w:t>
      </w:r>
      <w:r>
        <w:rPr>
          <w:rFonts w:hint="eastAsia" w:ascii="仿宋_GB2312" w:hAnsi="仿宋" w:eastAsia="仿宋_GB2312"/>
          <w:color w:val="000000" w:themeColor="text1"/>
          <w:kern w:val="0"/>
          <w:sz w:val="32"/>
          <w:szCs w:val="32"/>
        </w:rPr>
        <w:t>”</w:t>
      </w:r>
      <w:r>
        <w:rPr>
          <w:rFonts w:ascii="仿宋_GB2312" w:hAnsi="仿宋" w:eastAsia="仿宋_GB2312"/>
          <w:color w:val="000000" w:themeColor="text1"/>
          <w:kern w:val="0"/>
          <w:sz w:val="32"/>
          <w:szCs w:val="32"/>
        </w:rPr>
        <w:t>方式</w:t>
      </w:r>
      <w:r>
        <w:rPr>
          <w:rFonts w:hint="eastAsia" w:ascii="仿宋_GB2312" w:hAnsi="仿宋" w:eastAsia="仿宋_GB2312"/>
          <w:color w:val="000000" w:themeColor="text1"/>
          <w:kern w:val="0"/>
          <w:sz w:val="32"/>
          <w:szCs w:val="32"/>
        </w:rPr>
        <w:t>大力</w:t>
      </w:r>
      <w:r>
        <w:rPr>
          <w:rFonts w:ascii="仿宋_GB2312" w:hAnsi="仿宋" w:eastAsia="仿宋_GB2312"/>
          <w:color w:val="000000" w:themeColor="text1"/>
          <w:kern w:val="0"/>
          <w:sz w:val="32"/>
          <w:szCs w:val="32"/>
        </w:rPr>
        <w:t>发展跨境电商，引导优质产品开拓海外市场，</w:t>
      </w:r>
      <w:r>
        <w:rPr>
          <w:rFonts w:hint="eastAsia" w:ascii="仿宋_GB2312" w:hAnsi="仿宋" w:eastAsia="仿宋_GB2312"/>
          <w:color w:val="000000" w:themeColor="text1"/>
          <w:kern w:val="0"/>
          <w:sz w:val="32"/>
          <w:szCs w:val="32"/>
        </w:rPr>
        <w:t>培育一批龙头型、骨干型、领军型数字贸易企业，</w:t>
      </w:r>
      <w:r>
        <w:rPr>
          <w:rFonts w:ascii="仿宋_GB2312" w:hAnsi="仿宋" w:eastAsia="仿宋_GB2312"/>
          <w:color w:val="000000" w:themeColor="text1"/>
          <w:kern w:val="0"/>
          <w:sz w:val="32"/>
          <w:szCs w:val="32"/>
        </w:rPr>
        <w:t>打造跨境电子商务</w:t>
      </w:r>
      <w:r>
        <w:rPr>
          <w:rFonts w:hint="eastAsia" w:ascii="仿宋_GB2312" w:hAnsi="仿宋" w:eastAsia="仿宋_GB2312"/>
          <w:color w:val="000000" w:themeColor="text1"/>
          <w:kern w:val="0"/>
          <w:sz w:val="32"/>
          <w:szCs w:val="32"/>
        </w:rPr>
        <w:t>“玉林</w:t>
      </w:r>
      <w:r>
        <w:rPr>
          <w:rFonts w:ascii="仿宋_GB2312" w:hAnsi="仿宋" w:eastAsia="仿宋_GB2312"/>
          <w:color w:val="000000" w:themeColor="text1"/>
          <w:kern w:val="0"/>
          <w:sz w:val="32"/>
          <w:szCs w:val="32"/>
        </w:rPr>
        <w:t>品牌</w:t>
      </w:r>
      <w:r>
        <w:rPr>
          <w:rFonts w:hint="eastAsia" w:ascii="仿宋_GB2312" w:hAnsi="仿宋" w:eastAsia="仿宋_GB2312"/>
          <w:color w:val="000000" w:themeColor="text1"/>
          <w:kern w:val="0"/>
          <w:sz w:val="32"/>
          <w:szCs w:val="32"/>
        </w:rPr>
        <w:t>”</w:t>
      </w:r>
      <w:r>
        <w:rPr>
          <w:rFonts w:ascii="仿宋_GB2312" w:hAnsi="仿宋" w:eastAsia="仿宋_GB2312"/>
          <w:color w:val="000000" w:themeColor="text1"/>
          <w:kern w:val="0"/>
          <w:sz w:val="32"/>
          <w:szCs w:val="32"/>
        </w:rPr>
        <w:t>。</w:t>
      </w:r>
    </w:p>
    <w:p>
      <w:pPr>
        <w:pStyle w:val="2"/>
        <w:spacing w:after="0" w:line="600" w:lineRule="exact"/>
        <w:ind w:firstLine="643" w:firstLineChars="200"/>
        <w:rPr>
          <w:rFonts w:ascii="仿宋_GB2312" w:eastAsia="仿宋_GB2312"/>
          <w:color w:val="000000" w:themeColor="text1"/>
          <w:sz w:val="32"/>
          <w:szCs w:val="40"/>
        </w:rPr>
      </w:pPr>
      <w:r>
        <w:rPr>
          <w:rFonts w:hint="eastAsia" w:ascii="楷体_GB2312" w:hAnsi="楷体_GB2312" w:eastAsia="楷体_GB2312"/>
          <w:b/>
          <w:bCs/>
          <w:color w:val="000000" w:themeColor="text1"/>
          <w:kern w:val="0"/>
          <w:sz w:val="32"/>
          <w:szCs w:val="32"/>
        </w:rPr>
        <w:t>深入实施“引金入玉”战略。</w:t>
      </w:r>
      <w:r>
        <w:rPr>
          <w:rFonts w:hint="eastAsia" w:ascii="仿宋_GB2312" w:hAnsi="楷体_GB2312" w:eastAsia="仿宋_GB2312"/>
          <w:color w:val="000000" w:themeColor="text1"/>
          <w:kern w:val="0"/>
          <w:sz w:val="32"/>
          <w:szCs w:val="32"/>
        </w:rPr>
        <w:t>强化大数据、人工智能、区块链等新技术在征信、小微金融、风控、反欺诈、资产管理等领域深化应用。实施“互联网+”普惠金融计划，</w:t>
      </w:r>
      <w:r>
        <w:rPr>
          <w:rFonts w:hint="eastAsia" w:ascii="仿宋_GB2312" w:eastAsia="仿宋_GB2312"/>
          <w:color w:val="000000" w:themeColor="text1"/>
          <w:sz w:val="32"/>
          <w:szCs w:val="40"/>
        </w:rPr>
        <w:t>完善玉林金融市场体系，支持企业面向东盟开展跨境投融资、资产管理和财富管理等业务；鼓励引导玉林辖区内银行、保险等金融机构积极发展大数据金融、移动金融、供应链金融等新金融业态。探索成立玉林市数字经济发展引导基金，以政府资本为引导，撬动社会资本共同支持数字经济领域的新业态新模式企业发展，推动数字经济领域优质企业加快发展壮大。</w:t>
      </w:r>
    </w:p>
    <w:p>
      <w:pPr>
        <w:pStyle w:val="2"/>
        <w:spacing w:after="0" w:line="600" w:lineRule="exact"/>
        <w:ind w:firstLine="643" w:firstLineChars="200"/>
        <w:rPr>
          <w:rFonts w:ascii="仿宋_GB2312" w:hAnsi="楷体_GB2312" w:eastAsia="仿宋_GB2312"/>
          <w:color w:val="000000" w:themeColor="text1"/>
          <w:kern w:val="0"/>
          <w:sz w:val="32"/>
          <w:szCs w:val="32"/>
        </w:rPr>
      </w:pPr>
      <w:r>
        <w:rPr>
          <w:rFonts w:hint="eastAsia" w:ascii="楷体_GB2312" w:hAnsi="楷体_GB2312" w:eastAsia="楷体_GB2312"/>
          <w:b/>
          <w:bCs/>
          <w:color w:val="000000" w:themeColor="text1"/>
          <w:kern w:val="0"/>
          <w:sz w:val="32"/>
          <w:szCs w:val="32"/>
        </w:rPr>
        <w:t>大力发展智慧旅游。</w:t>
      </w:r>
      <w:r>
        <w:rPr>
          <w:rFonts w:hint="eastAsia" w:ascii="仿宋_GB2312" w:hAnsi="楷体_GB2312" w:eastAsia="仿宋_GB2312"/>
          <w:color w:val="000000" w:themeColor="text1"/>
          <w:kern w:val="0"/>
          <w:sz w:val="32"/>
          <w:szCs w:val="32"/>
        </w:rPr>
        <w:t>加快智慧旅游基础设施建设，持续扩大宽带通信、移动互联、无线网络及监控摄像头等设施覆盖面，优化完善智慧停车、智能找厕、景区门票网络预约、</w:t>
      </w:r>
      <w:r>
        <w:rPr>
          <w:rFonts w:eastAsia="仿宋_GB2312"/>
          <w:color w:val="000000" w:themeColor="text1"/>
          <w:kern w:val="0"/>
          <w:sz w:val="32"/>
          <w:szCs w:val="32"/>
        </w:rPr>
        <w:t>VR景区</w:t>
      </w:r>
      <w:r>
        <w:rPr>
          <w:rFonts w:hint="eastAsia" w:ascii="仿宋_GB2312" w:hAnsi="楷体_GB2312" w:eastAsia="仿宋_GB2312"/>
          <w:color w:val="000000" w:themeColor="text1"/>
          <w:kern w:val="0"/>
          <w:sz w:val="32"/>
          <w:szCs w:val="32"/>
        </w:rPr>
        <w:t>导览、人流预警等服务。汇集高速、机场、高铁、人社、交通等部门涉旅数据，进一步完善玉林全域旅游大数据，升级智慧旅游云平台。强化旅游大数据挖掘应用，鼓励各县区、各旅游企业开发新的智慧旅游应用场景，改善游客体验，更好的实现智慧服务、智慧管理、智慧营销。</w:t>
      </w:r>
    </w:p>
    <w:p>
      <w:pPr>
        <w:pStyle w:val="2"/>
        <w:spacing w:after="0" w:line="600" w:lineRule="exact"/>
        <w:ind w:firstLine="643" w:firstLineChars="200"/>
        <w:rPr>
          <w:rFonts w:ascii="仿宋_GB2312" w:hAnsi="楷体_GB2312" w:eastAsia="仿宋_GB2312"/>
          <w:color w:val="000000" w:themeColor="text1"/>
          <w:kern w:val="0"/>
          <w:sz w:val="32"/>
          <w:szCs w:val="32"/>
        </w:rPr>
      </w:pPr>
      <w:r>
        <w:rPr>
          <w:rFonts w:eastAsia="楷体_GB2312"/>
          <w:b/>
          <w:bCs/>
          <w:color w:val="000000" w:themeColor="text1"/>
          <w:kern w:val="0"/>
          <w:sz w:val="32"/>
          <w:szCs w:val="32"/>
        </w:rPr>
        <w:t>精心策划打造玉林康养IP</w:t>
      </w:r>
      <w:r>
        <w:rPr>
          <w:rFonts w:hint="eastAsia" w:eastAsia="楷体_GB2312"/>
          <w:b/>
          <w:bCs/>
          <w:color w:val="000000" w:themeColor="text1"/>
          <w:kern w:val="0"/>
          <w:sz w:val="32"/>
          <w:szCs w:val="32"/>
        </w:rPr>
        <w:t>。</w:t>
      </w:r>
      <w:r>
        <w:rPr>
          <w:rFonts w:hint="eastAsia" w:ascii="仿宋_GB2312" w:hAnsi="楷体_GB2312" w:eastAsia="仿宋_GB2312"/>
          <w:color w:val="000000" w:themeColor="text1"/>
          <w:kern w:val="0"/>
          <w:sz w:val="32"/>
          <w:szCs w:val="32"/>
        </w:rPr>
        <w:t>充分发挥大容山国家森林公园、容县都峤山文化生态旅游景区、广西铜石岭国际旅游度假区等优质旅游资源的优势，主动适应市场需求，开展“网红+直播+短视频”等营销方式，提升全市康养品牌整体形象，提高玉林康</w:t>
      </w:r>
      <w:r>
        <w:rPr>
          <w:rFonts w:eastAsia="仿宋_GB2312"/>
          <w:color w:val="000000" w:themeColor="text1"/>
          <w:kern w:val="0"/>
          <w:sz w:val="32"/>
          <w:szCs w:val="32"/>
        </w:rPr>
        <w:t>养IP</w:t>
      </w:r>
      <w:r>
        <w:rPr>
          <w:rFonts w:hint="eastAsia" w:ascii="仿宋_GB2312" w:hAnsi="楷体_GB2312" w:eastAsia="仿宋_GB2312"/>
          <w:color w:val="000000" w:themeColor="text1"/>
          <w:kern w:val="0"/>
          <w:sz w:val="32"/>
          <w:szCs w:val="32"/>
        </w:rPr>
        <w:t>的知名度。结合“医、养、健、管、食、游”全产业链要素，综合利用</w:t>
      </w:r>
      <w:r>
        <w:rPr>
          <w:rFonts w:eastAsia="仿宋_GB2312"/>
          <w:color w:val="000000" w:themeColor="text1"/>
          <w:kern w:val="0"/>
          <w:sz w:val="32"/>
          <w:szCs w:val="32"/>
        </w:rPr>
        <w:t>5G、</w:t>
      </w:r>
      <w:r>
        <w:rPr>
          <w:rFonts w:hint="eastAsia" w:ascii="仿宋_GB2312" w:hAnsi="楷体_GB2312" w:eastAsia="仿宋_GB2312"/>
          <w:color w:val="000000" w:themeColor="text1"/>
          <w:kern w:val="0"/>
          <w:sz w:val="32"/>
          <w:szCs w:val="32"/>
        </w:rPr>
        <w:t>云计算、大数据、移动互联网等新一代信息技术，建立联动绿色通道、中医理疗中心、健康数据库等，实现互联网数据共享，推进健康医养从线上线下走向深度融合。</w:t>
      </w:r>
    </w:p>
    <w:p>
      <w:pPr>
        <w:spacing w:line="600" w:lineRule="exact"/>
        <w:ind w:firstLine="643" w:firstLineChars="200"/>
        <w:rPr>
          <w:color w:val="000000" w:themeColor="text1"/>
        </w:rPr>
      </w:pPr>
      <w:r>
        <w:rPr>
          <w:rFonts w:hint="eastAsia" w:eastAsia="楷体_GB2312"/>
          <w:b/>
          <w:bCs/>
          <w:color w:val="000000" w:themeColor="text1"/>
          <w:kern w:val="0"/>
          <w:sz w:val="32"/>
          <w:szCs w:val="32"/>
        </w:rPr>
        <w:t>推动智慧物流发展。</w:t>
      </w:r>
      <w:r>
        <w:rPr>
          <w:rFonts w:hint="eastAsia" w:ascii="仿宋_GB2312" w:hAnsi="楷体_GB2312" w:eastAsia="仿宋_GB2312"/>
          <w:color w:val="000000" w:themeColor="text1"/>
          <w:kern w:val="0"/>
          <w:sz w:val="32"/>
          <w:szCs w:val="32"/>
        </w:rPr>
        <w:t>提升物流无人化、智能化水平，创建具备仓配一体、智能分仓、快递集散等功能的数字物流园，</w:t>
      </w:r>
      <w:r>
        <w:rPr>
          <w:rFonts w:hint="eastAsia" w:ascii="仿宋_GB2312" w:eastAsia="仿宋_GB2312"/>
          <w:color w:val="000000" w:themeColor="text1"/>
          <w:kern w:val="0"/>
          <w:sz w:val="32"/>
          <w:szCs w:val="32"/>
        </w:rPr>
        <w:t>加快</w:t>
      </w:r>
      <w:r>
        <w:rPr>
          <w:rFonts w:hint="eastAsia" w:ascii="仿宋_GB2312" w:hAnsi="仿宋" w:eastAsia="仿宋_GB2312"/>
          <w:color w:val="000000" w:themeColor="text1"/>
          <w:kern w:val="0"/>
          <w:sz w:val="32"/>
          <w:szCs w:val="32"/>
        </w:rPr>
        <w:t>玉林国际陆港、玉林福达农产品冷链物流基地、玉林临空物流园等现代物流集聚区建设。</w:t>
      </w:r>
      <w:r>
        <w:rPr>
          <w:rFonts w:hint="eastAsia" w:ascii="黑体" w:hAnsi="黑体" w:eastAsia="黑体"/>
          <w:color w:val="000000" w:themeColor="text1"/>
          <w:kern w:val="0"/>
          <w:sz w:val="32"/>
          <w:szCs w:val="32"/>
        </w:rPr>
        <w:t>加快推进国家骨干冷链物流基地建设</w:t>
      </w:r>
      <w:r>
        <w:rPr>
          <w:rFonts w:hint="eastAsia" w:ascii="仿宋_GB2312" w:hAnsi="仿宋" w:eastAsia="仿宋_GB2312"/>
          <w:color w:val="000000" w:themeColor="text1"/>
          <w:kern w:val="0"/>
          <w:sz w:val="32"/>
          <w:szCs w:val="32"/>
        </w:rPr>
        <w:t>，稳步开展智慧公路、智慧港口、智慧机场等大数据示范工程，加快推进空港、海港、陆港、信息港“四港联动”。促进物流信息互联互通、区域间和行业内物流信息共享，加快跨部门、跨行业、跨区域物流信息资源交换，促进交通信息资源全面开放共享。鼓励重点制造企业、商贸流通企业加大物流信息化投入，加快企业物流信息系统建设，实施供应链创新及应用试点，建立大数据支撑、网络化共享、智能化协作的城市智慧供应链体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33"/>
              <w:spacing w:before="0" w:after="0" w:line="600" w:lineRule="exact"/>
              <w:jc w:val="center"/>
              <w:rPr>
                <w:color w:val="000000" w:themeColor="text1"/>
              </w:rPr>
            </w:pPr>
            <w:r>
              <w:rPr>
                <w:rFonts w:hint="eastAsia" w:ascii="黑体" w:hAnsi="黑体" w:eastAsia="黑体"/>
                <w:color w:val="000000" w:themeColor="text1"/>
                <w:kern w:val="21"/>
                <w:sz w:val="30"/>
                <w:szCs w:val="30"/>
              </w:rPr>
              <w:t>专栏</w:t>
            </w:r>
            <w:r>
              <w:rPr>
                <w:rFonts w:ascii="黑体" w:hAnsi="黑体" w:eastAsia="黑体"/>
                <w:color w:val="000000" w:themeColor="text1"/>
                <w:kern w:val="21"/>
                <w:sz w:val="30"/>
                <w:szCs w:val="30"/>
              </w:rPr>
              <w:t>9</w:t>
            </w:r>
            <w:r>
              <w:rPr>
                <w:rFonts w:hint="eastAsia" w:ascii="黑体" w:hAnsi="黑体" w:eastAsia="黑体"/>
                <w:color w:val="000000" w:themeColor="text1"/>
                <w:kern w:val="21"/>
                <w:sz w:val="30"/>
                <w:szCs w:val="30"/>
              </w:rPr>
              <w:t xml:space="preserve"> 服务业数字化提升工程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20" w:lineRule="exact"/>
              <w:ind w:firstLine="602" w:firstLineChars="200"/>
              <w:rPr>
                <w:rFonts w:ascii="楷体_GB2312" w:hAnsi="楷体_GB2312" w:eastAsia="楷体_GB2312"/>
                <w:bCs/>
                <w:color w:val="000000" w:themeColor="text1"/>
                <w:kern w:val="0"/>
                <w:sz w:val="30"/>
                <w:szCs w:val="30"/>
              </w:rPr>
            </w:pPr>
            <w:r>
              <w:rPr>
                <w:rFonts w:eastAsia="楷体_GB2312"/>
                <w:b/>
                <w:color w:val="000000" w:themeColor="text1"/>
                <w:kern w:val="0"/>
                <w:sz w:val="30"/>
                <w:szCs w:val="30"/>
              </w:rPr>
              <w:t>（1）数字贸易：</w:t>
            </w:r>
            <w:r>
              <w:rPr>
                <w:rFonts w:hint="eastAsia" w:eastAsia="楷体_GB2312"/>
                <w:bCs/>
                <w:color w:val="000000" w:themeColor="text1"/>
                <w:kern w:val="0"/>
                <w:sz w:val="30"/>
                <w:szCs w:val="30"/>
              </w:rPr>
              <w:t>以跨境电商、数字内容为着力点，</w:t>
            </w:r>
            <w:r>
              <w:rPr>
                <w:rFonts w:hint="eastAsia" w:ascii="楷体_GB2312" w:hAnsi="楷体_GB2312" w:eastAsia="楷体_GB2312"/>
                <w:bCs/>
                <w:color w:val="000000" w:themeColor="text1"/>
                <w:kern w:val="0"/>
                <w:sz w:val="30"/>
                <w:szCs w:val="30"/>
              </w:rPr>
              <w:t>加快培育跨境电商、农村电商、直播电商新业态及产业集聚园区，推进玉林国际香料交易中心、玉林（福绵）生态纺织服装产业园、毅德国际商贸城、玉林（福绵）国际电商牛仔轻纺城等重点项目建设，依托玉林市产业集群货源优势，打造中药材、香料、牛仔裤直播带货之都；加快跨境电商综合服务平台建设，围绕特色农产品、香料、服装、汽车零部件、中药材等特色领域，开展跨境电商产业集群试点；推进网上超市、网上菜场等数字商贸发展，支持企业发展智慧商业，探索无人零售业务。</w:t>
            </w:r>
          </w:p>
          <w:p>
            <w:pPr>
              <w:spacing w:line="520" w:lineRule="exact"/>
              <w:ind w:firstLine="602" w:firstLineChars="200"/>
              <w:rPr>
                <w:color w:val="000000" w:themeColor="text1"/>
                <w:kern w:val="0"/>
                <w:sz w:val="20"/>
              </w:rPr>
            </w:pPr>
            <w:r>
              <w:rPr>
                <w:rFonts w:hint="eastAsia" w:ascii="楷体_GB2312" w:hAnsi="楷体_GB2312" w:eastAsia="楷体_GB2312"/>
                <w:b/>
                <w:color w:val="000000" w:themeColor="text1"/>
                <w:kern w:val="0"/>
                <w:sz w:val="30"/>
                <w:szCs w:val="30"/>
              </w:rPr>
              <w:t>建设</w:t>
            </w:r>
            <w:r>
              <w:rPr>
                <w:rFonts w:hint="eastAsia" w:eastAsia="楷体_GB2312"/>
                <w:b/>
                <w:color w:val="000000" w:themeColor="text1"/>
                <w:kern w:val="0"/>
                <w:sz w:val="30"/>
                <w:szCs w:val="30"/>
              </w:rPr>
              <w:t>乡村振兴直播电商中心：</w:t>
            </w:r>
            <w:r>
              <w:rPr>
                <w:rFonts w:hint="eastAsia" w:eastAsia="楷体_GB2312"/>
                <w:bCs/>
                <w:color w:val="000000" w:themeColor="text1"/>
                <w:kern w:val="0"/>
                <w:sz w:val="30"/>
                <w:szCs w:val="30"/>
              </w:rPr>
              <w:t>规划在五彩田园内利用闲置国有资产，整合优化资源打造一个由政府主导、国有平台公司运营的乡村振兴直播电商中心，依托平台优势，发挥特色农产品展览、电商交易、农商及职业网红孵化、区域性网销公共品牌（特色优品）策划运营、前沿市场研究推广等多元化一体功能，把中心打造成为一个新农人、新业态、新模式融合发展的综合体。</w:t>
            </w:r>
          </w:p>
          <w:p>
            <w:pPr>
              <w:spacing w:line="520" w:lineRule="exact"/>
              <w:ind w:firstLine="602" w:firstLineChars="200"/>
              <w:rPr>
                <w:rFonts w:ascii="楷体_GB2312" w:hAnsi="楷体_GB2312" w:eastAsia="楷体_GB2312"/>
                <w:bCs/>
                <w:color w:val="000000" w:themeColor="text1"/>
                <w:kern w:val="0"/>
                <w:sz w:val="30"/>
                <w:szCs w:val="30"/>
              </w:rPr>
            </w:pPr>
            <w:r>
              <w:rPr>
                <w:rFonts w:eastAsia="楷体_GB2312"/>
                <w:b/>
                <w:color w:val="000000" w:themeColor="text1"/>
                <w:kern w:val="0"/>
                <w:sz w:val="30"/>
                <w:szCs w:val="30"/>
              </w:rPr>
              <w:t>（2）数字物流：</w:t>
            </w:r>
            <w:r>
              <w:rPr>
                <w:rFonts w:hint="eastAsia" w:eastAsia="楷体_GB2312"/>
                <w:bCs/>
                <w:color w:val="000000" w:themeColor="text1"/>
                <w:kern w:val="0"/>
                <w:sz w:val="30"/>
                <w:szCs w:val="30"/>
              </w:rPr>
              <w:t>加快玉林福达农产品冷链物流园、玉林市农产品冷链物流中心等重点项目</w:t>
            </w:r>
            <w:r>
              <w:rPr>
                <w:rFonts w:hint="eastAsia" w:ascii="楷体_GB2312" w:hAnsi="楷体_GB2312" w:eastAsia="楷体_GB2312"/>
                <w:bCs/>
                <w:color w:val="000000" w:themeColor="text1"/>
                <w:kern w:val="0"/>
                <w:sz w:val="30"/>
                <w:szCs w:val="30"/>
              </w:rPr>
              <w:t>建设，持续推动冷链物流信息平台建设，推进城市末端配送体系智能化标准化，培育入场物流、“仓储+配送”一体化、“订单末端”配送、“区域性供应链”服务、“嵌入式电子商务”等配送服务。</w:t>
            </w:r>
          </w:p>
          <w:p>
            <w:pPr>
              <w:spacing w:line="520" w:lineRule="exact"/>
              <w:ind w:firstLine="602" w:firstLineChars="200"/>
              <w:rPr>
                <w:rFonts w:ascii="楷体_GB2312" w:hAnsi="楷体_GB2312" w:eastAsia="楷体_GB2312"/>
                <w:b/>
                <w:color w:val="000000" w:themeColor="text1"/>
                <w:kern w:val="0"/>
                <w:sz w:val="30"/>
                <w:szCs w:val="30"/>
              </w:rPr>
            </w:pPr>
            <w:r>
              <w:rPr>
                <w:rFonts w:eastAsia="楷体_GB2312"/>
                <w:b/>
                <w:color w:val="000000" w:themeColor="text1"/>
                <w:kern w:val="0"/>
                <w:sz w:val="30"/>
                <w:szCs w:val="30"/>
              </w:rPr>
              <w:t>（3）</w:t>
            </w:r>
            <w:r>
              <w:rPr>
                <w:rFonts w:hint="eastAsia" w:ascii="楷体_GB2312" w:hAnsi="楷体_GB2312" w:eastAsia="楷体_GB2312"/>
                <w:b/>
                <w:color w:val="000000" w:themeColor="text1"/>
                <w:kern w:val="0"/>
                <w:sz w:val="30"/>
                <w:szCs w:val="30"/>
              </w:rPr>
              <w:t>“</w:t>
            </w:r>
            <w:r>
              <w:rPr>
                <w:rFonts w:ascii="楷体_GB2312" w:hAnsi="楷体_GB2312" w:eastAsia="楷体_GB2312"/>
                <w:b/>
                <w:color w:val="000000" w:themeColor="text1"/>
                <w:kern w:val="0"/>
                <w:sz w:val="30"/>
                <w:szCs w:val="30"/>
              </w:rPr>
              <w:t>引金入玉</w:t>
            </w:r>
            <w:r>
              <w:rPr>
                <w:rFonts w:hint="eastAsia" w:ascii="楷体_GB2312" w:hAnsi="楷体_GB2312" w:eastAsia="楷体_GB2312"/>
                <w:b/>
                <w:color w:val="000000" w:themeColor="text1"/>
                <w:kern w:val="0"/>
                <w:sz w:val="30"/>
                <w:szCs w:val="30"/>
              </w:rPr>
              <w:t>”</w:t>
            </w:r>
            <w:r>
              <w:rPr>
                <w:rFonts w:ascii="楷体_GB2312" w:hAnsi="楷体_GB2312" w:eastAsia="楷体_GB2312"/>
                <w:b/>
                <w:color w:val="000000" w:themeColor="text1"/>
                <w:kern w:val="0"/>
                <w:sz w:val="30"/>
                <w:szCs w:val="30"/>
              </w:rPr>
              <w:t>行动计划</w:t>
            </w:r>
            <w:r>
              <w:rPr>
                <w:rFonts w:hint="eastAsia" w:ascii="楷体_GB2312" w:hAnsi="楷体_GB2312" w:eastAsia="楷体_GB2312"/>
                <w:b/>
                <w:color w:val="000000" w:themeColor="text1"/>
                <w:kern w:val="0"/>
                <w:sz w:val="30"/>
                <w:szCs w:val="30"/>
              </w:rPr>
              <w:t>：</w:t>
            </w:r>
          </w:p>
          <w:p>
            <w:pPr>
              <w:spacing w:line="520" w:lineRule="exact"/>
              <w:ind w:firstLine="602" w:firstLineChars="200"/>
              <w:rPr>
                <w:rFonts w:ascii="楷体_GB2312" w:hAnsi="楷体_GB2312" w:eastAsia="楷体_GB2312"/>
                <w:color w:val="000000" w:themeColor="text1"/>
                <w:kern w:val="0"/>
                <w:sz w:val="30"/>
                <w:szCs w:val="30"/>
              </w:rPr>
            </w:pPr>
            <w:r>
              <w:rPr>
                <w:rFonts w:ascii="楷体_GB2312" w:hAnsi="楷体_GB2312" w:eastAsia="楷体_GB2312"/>
                <w:b/>
                <w:color w:val="000000" w:themeColor="text1"/>
                <w:kern w:val="0"/>
                <w:sz w:val="30"/>
                <w:szCs w:val="30"/>
              </w:rPr>
              <w:t>地方金融机构增量行动：</w:t>
            </w:r>
            <w:r>
              <w:rPr>
                <w:rFonts w:ascii="楷体_GB2312" w:hAnsi="楷体_GB2312" w:eastAsia="楷体_GB2312"/>
                <w:color w:val="000000" w:themeColor="text1"/>
                <w:kern w:val="0"/>
                <w:sz w:val="30"/>
                <w:szCs w:val="30"/>
              </w:rPr>
              <w:t>力争新</w:t>
            </w:r>
            <w:r>
              <w:rPr>
                <w:rFonts w:eastAsia="楷体_GB2312"/>
                <w:color w:val="000000" w:themeColor="text1"/>
                <w:kern w:val="0"/>
                <w:sz w:val="30"/>
                <w:szCs w:val="30"/>
              </w:rPr>
              <w:t>引进2-3家全国性股份制银行，辖区所有农村信用合作联社全部改制为农村商业银行；证券公司营业部突破12家，期货营业部1家</w:t>
            </w:r>
            <w:r>
              <w:rPr>
                <w:rFonts w:ascii="楷体_GB2312" w:hAnsi="楷体_GB2312" w:eastAsia="楷体_GB2312"/>
                <w:color w:val="000000" w:themeColor="text1"/>
                <w:kern w:val="0"/>
                <w:sz w:val="30"/>
                <w:szCs w:val="30"/>
              </w:rPr>
              <w:t>。</w:t>
            </w:r>
          </w:p>
          <w:p>
            <w:pPr>
              <w:spacing w:line="520" w:lineRule="exact"/>
              <w:ind w:firstLine="602" w:firstLineChars="200"/>
              <w:rPr>
                <w:rFonts w:ascii="楷体_GB2312" w:hAnsi="楷体_GB2312" w:eastAsia="楷体_GB2312"/>
                <w:color w:val="000000" w:themeColor="text1"/>
                <w:kern w:val="0"/>
                <w:sz w:val="30"/>
                <w:szCs w:val="30"/>
              </w:rPr>
            </w:pPr>
            <w:r>
              <w:rPr>
                <w:rFonts w:hint="eastAsia" w:ascii="楷体_GB2312" w:hAnsi="楷体_GB2312" w:eastAsia="楷体_GB2312"/>
                <w:b/>
                <w:color w:val="000000" w:themeColor="text1"/>
                <w:kern w:val="0"/>
                <w:sz w:val="30"/>
                <w:szCs w:val="30"/>
              </w:rPr>
              <w:t>数字经济</w:t>
            </w:r>
            <w:r>
              <w:rPr>
                <w:rFonts w:ascii="楷体_GB2312" w:hAnsi="楷体_GB2312" w:eastAsia="楷体_GB2312"/>
                <w:b/>
                <w:color w:val="000000" w:themeColor="text1"/>
                <w:kern w:val="0"/>
                <w:sz w:val="30"/>
                <w:szCs w:val="30"/>
              </w:rPr>
              <w:t>产业引导基金发展行动：</w:t>
            </w:r>
            <w:r>
              <w:rPr>
                <w:rFonts w:ascii="楷体_GB2312" w:hAnsi="楷体_GB2312" w:eastAsia="楷体_GB2312"/>
                <w:color w:val="000000" w:themeColor="text1"/>
                <w:kern w:val="0"/>
                <w:sz w:val="30"/>
                <w:szCs w:val="30"/>
              </w:rPr>
              <w:t>坚持市场化导向，坚持效率优先，加快创新产业引导基金管理办法，发挥引导基金对推动产业固基强链的积极作用。设立</w:t>
            </w:r>
            <w:r>
              <w:rPr>
                <w:rFonts w:hint="eastAsia" w:ascii="楷体_GB2312" w:hAnsi="楷体_GB2312" w:eastAsia="楷体_GB2312"/>
                <w:color w:val="000000" w:themeColor="text1"/>
                <w:kern w:val="0"/>
                <w:sz w:val="30"/>
                <w:szCs w:val="30"/>
              </w:rPr>
              <w:t>数字经济</w:t>
            </w:r>
            <w:r>
              <w:rPr>
                <w:rFonts w:ascii="楷体_GB2312" w:hAnsi="楷体_GB2312" w:eastAsia="楷体_GB2312"/>
                <w:color w:val="000000" w:themeColor="text1"/>
                <w:kern w:val="0"/>
                <w:sz w:val="30"/>
                <w:szCs w:val="30"/>
              </w:rPr>
              <w:t>产业发展</w:t>
            </w:r>
            <w:r>
              <w:rPr>
                <w:rFonts w:hint="eastAsia" w:ascii="楷体_GB2312" w:hAnsi="楷体_GB2312" w:eastAsia="楷体_GB2312"/>
                <w:color w:val="000000" w:themeColor="text1"/>
                <w:kern w:val="0"/>
                <w:sz w:val="30"/>
                <w:szCs w:val="30"/>
              </w:rPr>
              <w:t>引导</w:t>
            </w:r>
            <w:r>
              <w:rPr>
                <w:rFonts w:ascii="楷体_GB2312" w:hAnsi="楷体_GB2312" w:eastAsia="楷体_GB2312"/>
                <w:color w:val="000000" w:themeColor="text1"/>
                <w:kern w:val="0"/>
                <w:sz w:val="30"/>
                <w:szCs w:val="30"/>
              </w:rPr>
              <w:t>基金，促进产业规模壮大和高质量发展。</w:t>
            </w:r>
          </w:p>
          <w:p>
            <w:pPr>
              <w:spacing w:line="520" w:lineRule="exact"/>
              <w:ind w:firstLine="602" w:firstLineChars="200"/>
              <w:rPr>
                <w:rFonts w:ascii="楷体_GB2312" w:hAnsi="楷体_GB2312" w:eastAsia="楷体_GB2312"/>
                <w:b/>
                <w:color w:val="000000" w:themeColor="text1"/>
                <w:kern w:val="0"/>
                <w:sz w:val="30"/>
                <w:szCs w:val="30"/>
              </w:rPr>
            </w:pPr>
            <w:r>
              <w:rPr>
                <w:rFonts w:eastAsia="楷体_GB2312"/>
                <w:b/>
                <w:color w:val="000000" w:themeColor="text1"/>
                <w:kern w:val="0"/>
                <w:sz w:val="30"/>
                <w:szCs w:val="30"/>
              </w:rPr>
              <w:t>（4）</w:t>
            </w:r>
            <w:r>
              <w:rPr>
                <w:rFonts w:hint="eastAsia" w:ascii="楷体_GB2312" w:hAnsi="楷体_GB2312" w:eastAsia="楷体_GB2312"/>
                <w:b/>
                <w:color w:val="000000" w:themeColor="text1"/>
                <w:kern w:val="0"/>
                <w:sz w:val="30"/>
                <w:szCs w:val="30"/>
              </w:rPr>
              <w:t>数字经济新消费：</w:t>
            </w:r>
            <w:r>
              <w:rPr>
                <w:rFonts w:hint="eastAsia" w:ascii="楷体_GB2312" w:hAnsi="楷体_GB2312" w:eastAsia="楷体_GB2312"/>
                <w:bCs/>
                <w:color w:val="000000" w:themeColor="text1"/>
                <w:kern w:val="0"/>
                <w:sz w:val="30"/>
                <w:szCs w:val="30"/>
              </w:rPr>
              <w:t>加快构建现代消费体系，融合应用直播、虚拟现实等智能体验技术，打造虚实结合的未来消费体验，将“经验”消费转变为“体验”消费。积极发展农村康养等银发经济，加强农村消费设施数字化，释放农村消费活力。</w:t>
            </w:r>
          </w:p>
          <w:p>
            <w:pPr>
              <w:spacing w:line="520" w:lineRule="exact"/>
              <w:ind w:firstLine="602" w:firstLineChars="200"/>
              <w:rPr>
                <w:color w:val="000000" w:themeColor="text1"/>
                <w:kern w:val="0"/>
                <w:sz w:val="20"/>
              </w:rPr>
            </w:pPr>
            <w:r>
              <w:rPr>
                <w:rFonts w:eastAsia="楷体_GB2312"/>
                <w:b/>
                <w:color w:val="000000" w:themeColor="text1"/>
                <w:kern w:val="0"/>
                <w:sz w:val="30"/>
                <w:szCs w:val="30"/>
              </w:rPr>
              <w:t>（5）</w:t>
            </w:r>
            <w:r>
              <w:rPr>
                <w:rFonts w:ascii="楷体_GB2312" w:hAnsi="楷体_GB2312" w:eastAsia="楷体_GB2312"/>
                <w:b/>
                <w:color w:val="000000" w:themeColor="text1"/>
                <w:kern w:val="0"/>
                <w:sz w:val="30"/>
                <w:szCs w:val="30"/>
              </w:rPr>
              <w:t>“新个体”和“微经济”</w:t>
            </w:r>
            <w:r>
              <w:rPr>
                <w:rFonts w:hint="eastAsia" w:ascii="楷体_GB2312" w:hAnsi="楷体_GB2312" w:eastAsia="楷体_GB2312"/>
                <w:b/>
                <w:color w:val="000000" w:themeColor="text1"/>
                <w:kern w:val="0"/>
                <w:sz w:val="30"/>
                <w:szCs w:val="30"/>
              </w:rPr>
              <w:t>：</w:t>
            </w:r>
            <w:r>
              <w:rPr>
                <w:rFonts w:ascii="楷体_GB2312" w:hAnsi="楷体_GB2312" w:eastAsia="楷体_GB2312"/>
                <w:bCs/>
                <w:color w:val="000000" w:themeColor="text1"/>
                <w:kern w:val="0"/>
                <w:sz w:val="30"/>
                <w:szCs w:val="30"/>
              </w:rPr>
              <w:t>支持微商电商、网络直播等多样化自主就业、分时就业。鼓励金融机构合理降低个体工商户融资成本，引导互联网平台企业</w:t>
            </w:r>
            <w:r>
              <w:rPr>
                <w:rFonts w:hint="eastAsia" w:ascii="楷体_GB2312" w:hAnsi="楷体_GB2312" w:eastAsia="楷体_GB2312"/>
                <w:bCs/>
                <w:color w:val="000000" w:themeColor="text1"/>
                <w:kern w:val="0"/>
                <w:sz w:val="30"/>
                <w:szCs w:val="30"/>
              </w:rPr>
              <w:t>降低个体经营者交易服务费引更多个体经营者线上经营创业，培育自治区级直播电子商务基地和网红经济集聚区。支持微创新、微应用、微产品等新业态，激发各类主体创新动力和创造活力。</w:t>
            </w:r>
          </w:p>
        </w:tc>
      </w:tr>
    </w:tbl>
    <w:p>
      <w:pPr>
        <w:pStyle w:val="6"/>
        <w:spacing w:before="0" w:after="0" w:line="600" w:lineRule="exact"/>
        <w:ind w:firstLine="643" w:firstLineChars="200"/>
        <w:rPr>
          <w:rFonts w:eastAsia="楷体_GB2312"/>
          <w:color w:val="000000" w:themeColor="text1"/>
        </w:rPr>
      </w:pPr>
      <w:bookmarkStart w:id="60" w:name="_Toc9500"/>
      <w:bookmarkStart w:id="61" w:name="_Toc93410001"/>
      <w:r>
        <w:rPr>
          <w:rFonts w:eastAsia="楷体_GB2312"/>
          <w:color w:val="000000" w:themeColor="text1"/>
        </w:rPr>
        <w:t>7</w:t>
      </w:r>
      <w:r>
        <w:rPr>
          <w:rFonts w:hint="eastAsia" w:eastAsia="楷体_GB2312"/>
          <w:color w:val="000000" w:themeColor="text1"/>
        </w:rPr>
        <w:t>.增强数字技术创新能力</w:t>
      </w:r>
      <w:bookmarkEnd w:id="60"/>
      <w:bookmarkEnd w:id="61"/>
    </w:p>
    <w:p>
      <w:pPr>
        <w:spacing w:line="600" w:lineRule="exact"/>
        <w:ind w:firstLine="643"/>
        <w:rPr>
          <w:rFonts w:eastAsia="仿宋_GB2312"/>
          <w:color w:val="000000" w:themeColor="text1"/>
          <w:sz w:val="32"/>
          <w:szCs w:val="32"/>
        </w:rPr>
      </w:pPr>
      <w:r>
        <w:rPr>
          <w:rFonts w:ascii="楷体_GB2312" w:hAnsi="楷体_GB2312" w:eastAsia="楷体_GB2312" w:cs="楷体_GB2312"/>
          <w:b/>
          <w:bCs/>
          <w:color w:val="000000" w:themeColor="text1"/>
          <w:sz w:val="32"/>
          <w:szCs w:val="32"/>
        </w:rPr>
        <w:t>加强</w:t>
      </w:r>
      <w:r>
        <w:rPr>
          <w:rFonts w:hint="eastAsia" w:ascii="楷体_GB2312" w:hAnsi="楷体_GB2312" w:eastAsia="楷体_GB2312" w:cs="楷体_GB2312"/>
          <w:b/>
          <w:bCs/>
          <w:color w:val="000000" w:themeColor="text1"/>
          <w:sz w:val="32"/>
          <w:szCs w:val="32"/>
        </w:rPr>
        <w:t>一批</w:t>
      </w:r>
      <w:r>
        <w:rPr>
          <w:rFonts w:ascii="楷体_GB2312" w:hAnsi="楷体_GB2312" w:eastAsia="楷体_GB2312" w:cs="楷体_GB2312"/>
          <w:b/>
          <w:bCs/>
          <w:color w:val="000000" w:themeColor="text1"/>
          <w:sz w:val="32"/>
          <w:szCs w:val="32"/>
        </w:rPr>
        <w:t>关键技术研发</w:t>
      </w:r>
      <w:r>
        <w:rPr>
          <w:rFonts w:hint="eastAsia" w:ascii="楷体_GB2312" w:hAnsi="楷体_GB2312" w:eastAsia="楷体_GB2312" w:cs="楷体_GB2312"/>
          <w:b/>
          <w:bCs/>
          <w:color w:val="000000" w:themeColor="text1"/>
          <w:sz w:val="32"/>
          <w:szCs w:val="32"/>
        </w:rPr>
        <w:t>。</w:t>
      </w:r>
      <w:r>
        <w:rPr>
          <w:rFonts w:hint="eastAsia" w:eastAsia="仿宋_GB2312"/>
          <w:color w:val="000000" w:themeColor="text1"/>
          <w:sz w:val="32"/>
          <w:szCs w:val="32"/>
        </w:rPr>
        <w:t>深入实施科教振兴战略和“科技强玉”行动，聚焦主导产业，围绕产业链部署创新链，围绕创新链布局产业链，</w:t>
      </w:r>
      <w:r>
        <w:rPr>
          <w:rFonts w:eastAsia="仿宋_GB2312"/>
          <w:color w:val="000000" w:themeColor="text1"/>
          <w:sz w:val="32"/>
          <w:szCs w:val="32"/>
        </w:rPr>
        <w:t>将新兴信息技术领域</w:t>
      </w:r>
      <w:r>
        <w:rPr>
          <w:rFonts w:hint="eastAsia" w:ascii="仿宋_GB2312" w:eastAsia="仿宋_GB2312"/>
          <w:color w:val="000000" w:themeColor="text1"/>
          <w:sz w:val="32"/>
          <w:szCs w:val="32"/>
        </w:rPr>
        <w:t>“卡脖子”技术纳入市重点研发项目库</w:t>
      </w:r>
      <w:r>
        <w:rPr>
          <w:rFonts w:eastAsia="仿宋_GB2312"/>
          <w:color w:val="000000" w:themeColor="text1"/>
          <w:sz w:val="32"/>
          <w:szCs w:val="32"/>
        </w:rPr>
        <w:t>，组织实施市重点领域研发项目，</w:t>
      </w:r>
      <w:r>
        <w:rPr>
          <w:rFonts w:hint="eastAsia" w:eastAsia="仿宋_GB2312"/>
          <w:color w:val="000000" w:themeColor="text1"/>
          <w:sz w:val="32"/>
          <w:szCs w:val="32"/>
        </w:rPr>
        <w:t>着力攻克机械装备、电子信息、高性能材料、健康医药等产业发展的关键核心技术。重点加快国家低碳智能商用动力技术创新中心、新材料研究技术研究院、南药产业技术研究院、濒危物种科研繁育中心、农业产业技术研究中心、碳酸钙产业技术研究院等高层次自主创新平台建设；重点推进玉林大数据生态产业园、玉林孪生计算与大数据云服务中心、玉林市公共安全大数据中心等数据中心（园区）建设。</w:t>
      </w:r>
    </w:p>
    <w:p>
      <w:pPr>
        <w:spacing w:line="600" w:lineRule="exact"/>
        <w:ind w:firstLine="640"/>
        <w:rPr>
          <w:rFonts w:eastAsia="仿宋_GB2312"/>
          <w:color w:val="000000" w:themeColor="text1"/>
          <w:sz w:val="32"/>
          <w:szCs w:val="32"/>
        </w:rPr>
      </w:pPr>
      <w:r>
        <w:rPr>
          <w:rFonts w:ascii="楷体_GB2312" w:hAnsi="楷体_GB2312" w:eastAsia="楷体_GB2312"/>
          <w:b/>
          <w:bCs/>
          <w:color w:val="000000" w:themeColor="text1"/>
          <w:sz w:val="32"/>
          <w:szCs w:val="32"/>
        </w:rPr>
        <w:t>促进</w:t>
      </w:r>
      <w:r>
        <w:rPr>
          <w:rFonts w:hint="eastAsia" w:ascii="楷体_GB2312" w:hAnsi="楷体_GB2312" w:eastAsia="楷体_GB2312"/>
          <w:b/>
          <w:bCs/>
          <w:color w:val="000000" w:themeColor="text1"/>
          <w:sz w:val="32"/>
          <w:szCs w:val="32"/>
        </w:rPr>
        <w:t>一批</w:t>
      </w:r>
      <w:r>
        <w:rPr>
          <w:rFonts w:ascii="楷体_GB2312" w:hAnsi="楷体_GB2312" w:eastAsia="楷体_GB2312"/>
          <w:b/>
          <w:bCs/>
          <w:color w:val="000000" w:themeColor="text1"/>
          <w:sz w:val="32"/>
          <w:szCs w:val="32"/>
        </w:rPr>
        <w:t>科技成果转移转化。</w:t>
      </w:r>
      <w:r>
        <w:rPr>
          <w:rFonts w:eastAsia="仿宋_GB2312"/>
          <w:color w:val="000000" w:themeColor="text1"/>
          <w:sz w:val="32"/>
          <w:szCs w:val="32"/>
        </w:rPr>
        <w:t>以应用技术研发、科技成果转化为重点，加快科技中介服务机构建设，大力发展知识产权、科技风险投资、技术交易、成果转化等科技中介服务机构，提升服务能力和水平。以政府为主导，联合高校院所、科技服务机构、企业等主体，搭建线上线下相结合的科技成果转化平台，建立完善玉林市数字经济领域企业需求库、科技成果库、技术经纪人库、高校院所专家</w:t>
      </w:r>
      <w:r>
        <w:rPr>
          <w:rFonts w:hint="eastAsia" w:ascii="仿宋_GB2312" w:eastAsia="仿宋_GB2312"/>
          <w:color w:val="000000" w:themeColor="text1"/>
          <w:sz w:val="32"/>
          <w:szCs w:val="32"/>
        </w:rPr>
        <w:t>库“四库”</w:t>
      </w:r>
      <w:r>
        <w:rPr>
          <w:rFonts w:eastAsia="仿宋_GB2312"/>
          <w:color w:val="000000" w:themeColor="text1"/>
          <w:sz w:val="32"/>
          <w:szCs w:val="32"/>
        </w:rPr>
        <w:t>，搭建信息资源中心、中介服务、成果筛选交易、政策落地等服务功能板块，促进技术交易、技术服务、技术咨询等。鼓励玉林师范学院等学校的科技人员采取在职创业、离岗创业、项目合作、挂职或者兼职等方式，从事科技成果转化活动。提高科技人员成果转化奖励标准，激发创新创业的积极性。</w:t>
      </w:r>
    </w:p>
    <w:p>
      <w:pPr>
        <w:spacing w:line="600" w:lineRule="exact"/>
        <w:ind w:firstLine="640"/>
        <w:rPr>
          <w:rFonts w:ascii="仿宋_GB2312" w:eastAsia="仿宋_GB2312"/>
          <w:color w:val="000000" w:themeColor="text1"/>
          <w:sz w:val="32"/>
          <w:szCs w:val="32"/>
        </w:rPr>
      </w:pPr>
      <w:r>
        <w:rPr>
          <w:rFonts w:ascii="楷体_GB2312" w:hAnsi="楷体_GB2312" w:eastAsia="楷体_GB2312"/>
          <w:b/>
          <w:bCs/>
          <w:color w:val="000000" w:themeColor="text1"/>
          <w:sz w:val="32"/>
          <w:szCs w:val="32"/>
        </w:rPr>
        <w:t>培育</w:t>
      </w:r>
      <w:r>
        <w:rPr>
          <w:rFonts w:hint="eastAsia" w:ascii="楷体_GB2312" w:hAnsi="楷体_GB2312" w:eastAsia="楷体_GB2312"/>
          <w:b/>
          <w:bCs/>
          <w:color w:val="000000" w:themeColor="text1"/>
          <w:sz w:val="32"/>
          <w:szCs w:val="32"/>
        </w:rPr>
        <w:t>一批</w:t>
      </w:r>
      <w:r>
        <w:rPr>
          <w:rFonts w:ascii="楷体_GB2312" w:hAnsi="楷体_GB2312" w:eastAsia="楷体_GB2312"/>
          <w:b/>
          <w:bCs/>
          <w:color w:val="000000" w:themeColor="text1"/>
          <w:sz w:val="32"/>
          <w:szCs w:val="32"/>
        </w:rPr>
        <w:t>优质企业。</w:t>
      </w:r>
      <w:r>
        <w:rPr>
          <w:rFonts w:hint="eastAsia" w:eastAsia="仿宋_GB2312"/>
          <w:color w:val="000000" w:themeColor="text1"/>
          <w:sz w:val="32"/>
          <w:szCs w:val="32"/>
        </w:rPr>
        <w:t>搭建玉林</w:t>
      </w:r>
      <w:r>
        <w:rPr>
          <w:rFonts w:eastAsia="仿宋_GB2312"/>
          <w:color w:val="000000" w:themeColor="text1"/>
          <w:sz w:val="32"/>
          <w:szCs w:val="32"/>
        </w:rPr>
        <w:t>数字经济重点企业库，推动企业梯次培育，</w:t>
      </w:r>
      <w:r>
        <w:rPr>
          <w:rFonts w:hint="eastAsia" w:eastAsia="仿宋_GB2312"/>
          <w:color w:val="000000" w:themeColor="text1"/>
          <w:sz w:val="32"/>
          <w:szCs w:val="32"/>
        </w:rPr>
        <w:t>落实“玉林市企业规模效益倍增计划”“玉林市领军型成长型和科</w:t>
      </w:r>
      <w:r>
        <w:rPr>
          <w:rFonts w:hint="eastAsia" w:ascii="仿宋_GB2312" w:eastAsia="仿宋_GB2312"/>
          <w:color w:val="000000" w:themeColor="text1"/>
          <w:sz w:val="32"/>
          <w:szCs w:val="32"/>
        </w:rPr>
        <w:t>技型中小企业培育计划”“玉林市商贸物流企业培育计划”，搭建多层次资本对接平台。重点围绕“感知、链接、平台、应用、安全”等重点环节，争取具有关键技术或核心环节的国内及国际龙头企业或独角兽企业入驻。集中人力物力财力，集聚各类要素资源、集合开展帮扶服务，以“一企一策”“一对一”“连续支持”等方式，支持中小企业“上云”开展智能化升级，培育引导促进一批企业“上规”，帮助有条件企业“上市”，培育一批“单项冠军”“隐形冠军”“小巨人”“高新技术”以及科技型中小企业。</w:t>
      </w:r>
    </w:p>
    <w:p>
      <w:pPr>
        <w:spacing w:line="600" w:lineRule="exact"/>
        <w:ind w:firstLine="643" w:firstLineChars="200"/>
        <w:rPr>
          <w:rFonts w:ascii="仿宋_GB2312" w:eastAsia="仿宋_GB2312"/>
          <w:color w:val="000000" w:themeColor="text1"/>
        </w:rPr>
      </w:pPr>
      <w:r>
        <w:rPr>
          <w:rFonts w:hint="eastAsia" w:ascii="楷体_GB2312" w:hAnsi="楷体_GB2312" w:eastAsia="楷体_GB2312"/>
          <w:b/>
          <w:bCs/>
          <w:color w:val="000000" w:themeColor="text1"/>
          <w:sz w:val="32"/>
          <w:szCs w:val="32"/>
        </w:rPr>
        <w:t>建设一批企业孵化平台。</w:t>
      </w:r>
      <w:r>
        <w:rPr>
          <w:rFonts w:hint="eastAsia" w:ascii="仿宋_GB2312" w:eastAsia="仿宋_GB2312"/>
          <w:color w:val="000000" w:themeColor="text1"/>
          <w:kern w:val="21"/>
          <w:sz w:val="32"/>
          <w:szCs w:val="32"/>
        </w:rPr>
        <w:t>加快建设数字经济领域产业园区、孵化器等平台，搭建具有示范引领作用的新型孵化载体。依托玉柴工业园等产业园区，加快园区内企业的数字化、网络化、智能化转型</w:t>
      </w:r>
      <w:r>
        <w:rPr>
          <w:rFonts w:hint="eastAsia" w:ascii="仿宋_GB2312" w:eastAsia="仿宋_GB2312"/>
          <w:snapToGrid w:val="0"/>
          <w:color w:val="000000" w:themeColor="text1"/>
          <w:kern w:val="21"/>
          <w:sz w:val="32"/>
          <w:szCs w:val="32"/>
        </w:rPr>
        <w:t>升级，推动大数据在装备制造、医药保健、电子信息、新材料、食品加工等重点优势工业领域应用。</w:t>
      </w:r>
      <w:r>
        <w:rPr>
          <w:rFonts w:hint="eastAsia" w:ascii="仿宋_GB2312" w:eastAsia="仿宋_GB2312"/>
          <w:color w:val="000000" w:themeColor="text1"/>
          <w:kern w:val="21"/>
          <w:sz w:val="32"/>
          <w:szCs w:val="32"/>
        </w:rPr>
        <w:t>支持园区内行业龙头企业和平台企业通过打造垂直领域工业互联网平台，提供专业化数据、算法框架、开源平台等服务。建设玉林数字经济产业园，支持云计算、大数据等领域初创企业入驻园区，支持数字经济领域的行业龙头企业直接投资的新技术、新产业、新业态、新模式项目落户园区，推进相关产业集聚，培育数字经济产业生态。</w:t>
      </w:r>
    </w:p>
    <w:p>
      <w:pPr>
        <w:spacing w:line="600" w:lineRule="exact"/>
        <w:ind w:firstLine="643"/>
        <w:rPr>
          <w:rFonts w:ascii="仿宋_GB2312" w:hAnsi="仿宋" w:eastAsia="仿宋_GB2312"/>
          <w:color w:val="000000" w:themeColor="text1"/>
          <w:kern w:val="0"/>
          <w:sz w:val="32"/>
          <w:szCs w:val="32"/>
        </w:rPr>
      </w:pPr>
      <w:r>
        <w:rPr>
          <w:rFonts w:hint="eastAsia" w:ascii="楷体_GB2312" w:hAnsi="楷体_GB2312" w:eastAsia="楷体_GB2312"/>
          <w:b/>
          <w:bCs/>
          <w:color w:val="000000" w:themeColor="text1"/>
          <w:kern w:val="0"/>
          <w:sz w:val="32"/>
          <w:szCs w:val="32"/>
        </w:rPr>
        <w:t>打造一批高水平创新平台。</w:t>
      </w:r>
      <w:r>
        <w:rPr>
          <w:rFonts w:hint="eastAsia" w:ascii="仿宋_GB2312" w:hAnsi="仿宋" w:eastAsia="仿宋_GB2312"/>
          <w:color w:val="000000" w:themeColor="text1"/>
          <w:kern w:val="0"/>
          <w:sz w:val="32"/>
          <w:szCs w:val="32"/>
        </w:rPr>
        <w:t>高标准推进玉林数字经济产业园建设，做强做优玉柴工程研究院，制定“招院引所”相关支持政策，吸引长三角知名大学、大院大所在玉林设立分院分校、研发基地，布局建设一批国家级双创示范基地及“创新飞地”。围绕主导产业，推动每个园区至少与一所高校院所合作建立战略合作关系，共建公共技术研发平台，创新建设模式，促进园区、高校、企业三方形成利益共同体，共同推进平台能力提升，争创一批自治区级创新平台和国家级创新平台。通过靶向培育、精准扶持，到</w:t>
      </w:r>
      <w:r>
        <w:rPr>
          <w:rFonts w:eastAsia="仿宋_GB2312"/>
          <w:color w:val="000000" w:themeColor="text1"/>
          <w:kern w:val="0"/>
          <w:sz w:val="32"/>
          <w:szCs w:val="32"/>
        </w:rPr>
        <w:t>2025年，力争全市新增国家级创新平台3个以上，自治区级创新平台30个</w:t>
      </w:r>
      <w:r>
        <w:rPr>
          <w:rFonts w:hint="eastAsia" w:ascii="仿宋_GB2312" w:hAnsi="仿宋" w:eastAsia="仿宋_GB2312"/>
          <w:color w:val="000000" w:themeColor="text1"/>
          <w:kern w:val="0"/>
          <w:sz w:val="32"/>
          <w:szCs w:val="32"/>
        </w:rPr>
        <w:t>以上，高新技术企业保有量突破</w:t>
      </w:r>
      <w:r>
        <w:rPr>
          <w:rFonts w:eastAsia="仿宋_GB2312"/>
          <w:color w:val="000000" w:themeColor="text1"/>
          <w:kern w:val="0"/>
          <w:sz w:val="32"/>
          <w:szCs w:val="32"/>
        </w:rPr>
        <w:t>150</w:t>
      </w:r>
      <w:r>
        <w:rPr>
          <w:rFonts w:hint="eastAsia" w:ascii="仿宋_GB2312" w:hAnsi="仿宋" w:eastAsia="仿宋_GB2312"/>
          <w:color w:val="000000" w:themeColor="text1"/>
          <w:kern w:val="0"/>
          <w:sz w:val="32"/>
          <w:szCs w:val="32"/>
        </w:rPr>
        <w:t>家。</w:t>
      </w:r>
    </w:p>
    <w:p>
      <w:pPr>
        <w:spacing w:line="600" w:lineRule="exact"/>
        <w:ind w:firstLine="643"/>
        <w:rPr>
          <w:rFonts w:ascii="仿宋_GB2312" w:hAnsi="仿宋" w:eastAsia="仿宋_GB2312"/>
          <w:color w:val="000000" w:themeColor="text1"/>
          <w:sz w:val="32"/>
          <w:szCs w:val="32"/>
        </w:rPr>
      </w:pPr>
      <w:r>
        <w:rPr>
          <w:rFonts w:hint="eastAsia" w:ascii="楷体_GB2312" w:hAnsi="楷体_GB2312" w:eastAsia="楷体_GB2312" w:cs="楷体_GB2312"/>
          <w:b/>
          <w:bCs/>
          <w:color w:val="000000" w:themeColor="text1"/>
          <w:sz w:val="32"/>
          <w:szCs w:val="32"/>
        </w:rPr>
        <w:t>扎实推进“以数招商”。</w:t>
      </w:r>
      <w:r>
        <w:rPr>
          <w:rFonts w:hint="eastAsia" w:ascii="仿宋_GB2312" w:hAnsi="仿宋" w:eastAsia="仿宋_GB2312"/>
          <w:color w:val="000000" w:themeColor="text1"/>
          <w:sz w:val="32"/>
          <w:szCs w:val="32"/>
        </w:rPr>
        <w:t>瞄准长江经济带、粤港澳大湾区、成渝地区双城经济圈等产业聚集区，紧密跟踪</w:t>
      </w:r>
      <w:r>
        <w:rPr>
          <w:rFonts w:eastAsia="仿宋_GB2312"/>
          <w:color w:val="000000" w:themeColor="text1"/>
          <w:sz w:val="32"/>
          <w:szCs w:val="32"/>
        </w:rPr>
        <w:t>500</w:t>
      </w:r>
      <w:r>
        <w:rPr>
          <w:rFonts w:hint="eastAsia" w:ascii="仿宋_GB2312" w:hAnsi="仿宋" w:eastAsia="仿宋_GB2312"/>
          <w:color w:val="000000" w:themeColor="text1"/>
          <w:sz w:val="32"/>
          <w:szCs w:val="32"/>
        </w:rPr>
        <w:t>强、行业领军企业发展战略、投资动态，充分利用数字经济机会清单和“三图一表”，做细做优“以数招商”方案，精准匹配要素资源和政策支撑，加快引进一批行业带动力强、影响力大的企业。开展以商招商，选聘数字经济优秀企业高管和职业经理人作为招商顾问，定期开展行业座谈会、高峰论坛、供应商大会等活动，吸引产业链上下游、价值链左右端企业落户。</w:t>
      </w:r>
    </w:p>
    <w:p>
      <w:pPr>
        <w:spacing w:line="600" w:lineRule="exact"/>
        <w:ind w:firstLine="643" w:firstLineChars="200"/>
        <w:rPr>
          <w:color w:val="000000" w:themeColor="text1"/>
        </w:rPr>
      </w:pPr>
      <w:r>
        <w:rPr>
          <w:rFonts w:ascii="楷体_GB2312" w:hAnsi="楷体_GB2312" w:eastAsia="楷体_GB2312"/>
          <w:b/>
          <w:bCs/>
          <w:color w:val="000000" w:themeColor="text1"/>
          <w:sz w:val="32"/>
          <w:szCs w:val="32"/>
        </w:rPr>
        <w:t>加快数字经济人才汇聚</w:t>
      </w:r>
      <w:r>
        <w:rPr>
          <w:rFonts w:hint="eastAsia" w:ascii="楷体_GB2312" w:hAnsi="楷体_GB2312" w:eastAsia="楷体_GB2312"/>
          <w:b/>
          <w:bCs/>
          <w:color w:val="000000" w:themeColor="text1"/>
          <w:sz w:val="32"/>
          <w:szCs w:val="32"/>
        </w:rPr>
        <w:t>。</w:t>
      </w:r>
      <w:r>
        <w:rPr>
          <w:rFonts w:eastAsia="仿宋_GB2312"/>
          <w:color w:val="000000" w:themeColor="text1"/>
          <w:sz w:val="32"/>
          <w:szCs w:val="32"/>
        </w:rPr>
        <w:t>突出</w:t>
      </w:r>
      <w:r>
        <w:rPr>
          <w:rFonts w:hint="eastAsia" w:ascii="仿宋_GB2312" w:eastAsia="仿宋_GB2312"/>
          <w:color w:val="000000" w:themeColor="text1"/>
          <w:sz w:val="32"/>
          <w:szCs w:val="32"/>
        </w:rPr>
        <w:t>“高精尖缺”</w:t>
      </w:r>
      <w:r>
        <w:rPr>
          <w:rFonts w:eastAsia="仿宋_GB2312"/>
          <w:color w:val="000000" w:themeColor="text1"/>
          <w:sz w:val="32"/>
          <w:szCs w:val="32"/>
        </w:rPr>
        <w:t>导向，结合</w:t>
      </w:r>
      <w:r>
        <w:rPr>
          <w:rFonts w:hint="eastAsia" w:eastAsia="仿宋_GB2312"/>
          <w:color w:val="000000" w:themeColor="text1"/>
          <w:sz w:val="32"/>
          <w:szCs w:val="32"/>
        </w:rPr>
        <w:t>玉林</w:t>
      </w:r>
      <w:r>
        <w:rPr>
          <w:rFonts w:eastAsia="仿宋_GB2312"/>
          <w:color w:val="000000" w:themeColor="text1"/>
          <w:sz w:val="32"/>
          <w:szCs w:val="32"/>
        </w:rPr>
        <w:t>数字产业和传统产业特点，不断提升引才精准度和产业适配度。深入实施各类引才引智计划，全力引进数字经济领域优秀人才。以</w:t>
      </w:r>
      <w:r>
        <w:rPr>
          <w:rFonts w:hint="eastAsia" w:eastAsia="仿宋_GB2312"/>
          <w:color w:val="000000" w:themeColor="text1"/>
          <w:sz w:val="32"/>
          <w:szCs w:val="32"/>
        </w:rPr>
        <w:t>玉林数字经济产业园</w:t>
      </w:r>
      <w:r>
        <w:rPr>
          <w:rFonts w:eastAsia="仿宋_GB2312"/>
          <w:color w:val="000000" w:themeColor="text1"/>
          <w:sz w:val="32"/>
          <w:szCs w:val="32"/>
        </w:rPr>
        <w:t>建设、</w:t>
      </w:r>
      <w:r>
        <w:rPr>
          <w:rFonts w:hint="eastAsia" w:eastAsia="仿宋_GB2312"/>
          <w:color w:val="000000" w:themeColor="text1"/>
          <w:sz w:val="32"/>
          <w:szCs w:val="32"/>
        </w:rPr>
        <w:t>中国-东盟信息港数字经济研究院筹建为契机</w:t>
      </w:r>
      <w:r>
        <w:rPr>
          <w:rFonts w:eastAsia="仿宋_GB2312"/>
          <w:color w:val="000000" w:themeColor="text1"/>
          <w:sz w:val="32"/>
          <w:szCs w:val="32"/>
        </w:rPr>
        <w:t>举办各类高层次人才创新创业大赛</w:t>
      </w:r>
      <w:r>
        <w:rPr>
          <w:rFonts w:hint="eastAsia" w:eastAsia="仿宋_GB2312"/>
          <w:color w:val="000000" w:themeColor="text1"/>
          <w:sz w:val="32"/>
          <w:szCs w:val="32"/>
        </w:rPr>
        <w:t>，</w:t>
      </w:r>
      <w:r>
        <w:rPr>
          <w:rFonts w:eastAsia="仿宋_GB2312"/>
          <w:color w:val="000000" w:themeColor="text1"/>
          <w:sz w:val="32"/>
          <w:szCs w:val="32"/>
        </w:rPr>
        <w:t>培养一批创新人才、集聚一批数字经济高端人才。支持</w:t>
      </w:r>
      <w:r>
        <w:rPr>
          <w:rFonts w:hint="eastAsia" w:eastAsia="仿宋_GB2312"/>
          <w:color w:val="000000" w:themeColor="text1"/>
          <w:sz w:val="32"/>
          <w:szCs w:val="32"/>
        </w:rPr>
        <w:t>玉林师范学院、广西医科大学（玉林校区）</w:t>
      </w:r>
      <w:r>
        <w:rPr>
          <w:rFonts w:eastAsia="仿宋_GB2312"/>
          <w:color w:val="000000" w:themeColor="text1"/>
          <w:sz w:val="32"/>
          <w:szCs w:val="32"/>
        </w:rPr>
        <w:t>等高校加强数字经济领域交叉学科建设和产教深度融合，加快培养一批复合型、实操型人才。</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33"/>
              <w:spacing w:before="0" w:after="0" w:line="600" w:lineRule="exact"/>
              <w:jc w:val="center"/>
              <w:rPr>
                <w:color w:val="000000" w:themeColor="text1"/>
              </w:rPr>
            </w:pPr>
            <w:r>
              <w:rPr>
                <w:rFonts w:hint="eastAsia" w:ascii="黑体" w:hAnsi="黑体" w:eastAsia="黑体"/>
                <w:color w:val="000000" w:themeColor="text1"/>
                <w:kern w:val="21"/>
                <w:sz w:val="30"/>
                <w:szCs w:val="30"/>
              </w:rPr>
              <w:t>专栏</w:t>
            </w:r>
            <w:r>
              <w:rPr>
                <w:rFonts w:ascii="黑体" w:hAnsi="黑体" w:eastAsia="黑体"/>
                <w:color w:val="000000" w:themeColor="text1"/>
                <w:kern w:val="21"/>
                <w:sz w:val="30"/>
                <w:szCs w:val="30"/>
              </w:rPr>
              <w:t>10</w:t>
            </w:r>
            <w:r>
              <w:rPr>
                <w:rFonts w:hint="eastAsia" w:ascii="黑体" w:hAnsi="黑体" w:eastAsia="黑体"/>
                <w:color w:val="000000" w:themeColor="text1"/>
                <w:kern w:val="21"/>
                <w:sz w:val="30"/>
                <w:szCs w:val="30"/>
              </w:rPr>
              <w:t xml:space="preserve"> </w:t>
            </w:r>
            <w:r>
              <w:rPr>
                <w:rFonts w:ascii="黑体" w:hAnsi="黑体" w:eastAsia="黑体"/>
                <w:color w:val="000000" w:themeColor="text1"/>
                <w:kern w:val="21"/>
                <w:sz w:val="30"/>
                <w:szCs w:val="30"/>
              </w:rPr>
              <w:t>高能级创新平台建设行动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overflowPunct w:val="0"/>
              <w:adjustRightInd w:val="0"/>
              <w:snapToGrid w:val="0"/>
              <w:spacing w:line="520" w:lineRule="exact"/>
              <w:ind w:firstLine="602" w:firstLineChars="200"/>
              <w:rPr>
                <w:rFonts w:eastAsia="楷体_GB2312"/>
                <w:color w:val="000000" w:themeColor="text1"/>
                <w:kern w:val="0"/>
                <w:sz w:val="30"/>
                <w:szCs w:val="30"/>
              </w:rPr>
            </w:pPr>
            <w:r>
              <w:rPr>
                <w:rFonts w:eastAsia="楷体_GB2312"/>
                <w:b/>
                <w:bCs/>
                <w:color w:val="000000" w:themeColor="text1"/>
                <w:kern w:val="0"/>
                <w:sz w:val="30"/>
                <w:szCs w:val="30"/>
              </w:rPr>
              <w:t>中国-东盟信息港数字经济研究院：</w:t>
            </w:r>
            <w:r>
              <w:rPr>
                <w:rFonts w:eastAsia="楷体_GB2312"/>
                <w:color w:val="000000" w:themeColor="text1"/>
                <w:kern w:val="0"/>
                <w:sz w:val="30"/>
                <w:szCs w:val="30"/>
              </w:rPr>
              <w:t>中国-东盟信息港数字经济研究院（简称：研究院）将坚持以产业数字化为核心、推广应用为重点、平台建设为辅助，贴紧长三角数字中心、依托</w:t>
            </w:r>
            <w:r>
              <w:rPr>
                <w:rFonts w:hint="eastAsia" w:eastAsia="楷体_GB2312"/>
                <w:color w:val="000000" w:themeColor="text1"/>
                <w:kern w:val="0"/>
                <w:sz w:val="30"/>
                <w:szCs w:val="30"/>
              </w:rPr>
              <w:t>国研经济研究院、</w:t>
            </w:r>
            <w:r>
              <w:rPr>
                <w:rFonts w:eastAsia="楷体_GB2312"/>
                <w:color w:val="000000" w:themeColor="text1"/>
                <w:kern w:val="0"/>
                <w:sz w:val="30"/>
                <w:szCs w:val="30"/>
              </w:rPr>
              <w:t>北京大学新结构经济学研究院、中国社会科学院</w:t>
            </w:r>
            <w:r>
              <w:rPr>
                <w:rFonts w:hint="eastAsia" w:eastAsia="楷体_GB2312"/>
                <w:color w:val="000000" w:themeColor="text1"/>
                <w:kern w:val="0"/>
                <w:sz w:val="30"/>
                <w:szCs w:val="30"/>
              </w:rPr>
              <w:t>等</w:t>
            </w:r>
            <w:r>
              <w:rPr>
                <w:rFonts w:eastAsia="楷体_GB2312"/>
                <w:color w:val="000000" w:themeColor="text1"/>
                <w:kern w:val="0"/>
                <w:sz w:val="30"/>
                <w:szCs w:val="30"/>
              </w:rPr>
              <w:t>国家级智库平台，紧靠中国信息通信研究院行业核心机构，搭建自治区数字经济产业创新服务综合体、高端咨询机构、自治区</w:t>
            </w:r>
            <w:r>
              <w:rPr>
                <w:rFonts w:hint="eastAsia" w:ascii="楷体_GB2312" w:eastAsia="楷体_GB2312"/>
                <w:color w:val="000000" w:themeColor="text1"/>
                <w:kern w:val="0"/>
                <w:sz w:val="30"/>
                <w:szCs w:val="30"/>
              </w:rPr>
              <w:t>“双创”</w:t>
            </w:r>
            <w:r>
              <w:rPr>
                <w:rFonts w:eastAsia="楷体_GB2312"/>
                <w:color w:val="000000" w:themeColor="text1"/>
                <w:kern w:val="0"/>
                <w:sz w:val="30"/>
                <w:szCs w:val="30"/>
              </w:rPr>
              <w:t>示范基地等高能级平台。</w:t>
            </w:r>
          </w:p>
          <w:p>
            <w:pPr>
              <w:overflowPunct w:val="0"/>
              <w:adjustRightInd w:val="0"/>
              <w:snapToGrid w:val="0"/>
              <w:spacing w:line="520" w:lineRule="exact"/>
              <w:ind w:firstLine="600" w:firstLineChars="200"/>
              <w:rPr>
                <w:rFonts w:eastAsia="楷体_GB2312"/>
                <w:snapToGrid w:val="0"/>
                <w:color w:val="000000" w:themeColor="text1"/>
                <w:kern w:val="0"/>
                <w:sz w:val="30"/>
                <w:szCs w:val="30"/>
              </w:rPr>
            </w:pPr>
            <w:r>
              <w:rPr>
                <w:rFonts w:eastAsia="楷体_GB2312"/>
                <w:color w:val="000000" w:themeColor="text1"/>
                <w:kern w:val="0"/>
                <w:sz w:val="30"/>
                <w:szCs w:val="30"/>
              </w:rPr>
              <w:t>研究院将落地玉林，先行先试，</w:t>
            </w:r>
            <w:r>
              <w:rPr>
                <w:rFonts w:eastAsia="楷体_GB2312"/>
                <w:snapToGrid w:val="0"/>
                <w:color w:val="000000" w:themeColor="text1"/>
                <w:kern w:val="0"/>
                <w:sz w:val="30"/>
                <w:szCs w:val="30"/>
              </w:rPr>
              <w:t>成为玉林市发展数字经济</w:t>
            </w:r>
            <w:r>
              <w:rPr>
                <w:rFonts w:ascii="楷体_GB2312" w:hAnsi="楷体_GB2312" w:eastAsia="楷体_GB2312"/>
                <w:snapToGrid w:val="0"/>
                <w:color w:val="000000" w:themeColor="text1"/>
                <w:kern w:val="0"/>
                <w:sz w:val="30"/>
                <w:szCs w:val="30"/>
              </w:rPr>
              <w:t>“一号工程”的“一号院”。</w:t>
            </w:r>
            <w:r>
              <w:rPr>
                <w:rFonts w:eastAsia="楷体_GB2312"/>
                <w:snapToGrid w:val="0"/>
                <w:color w:val="000000" w:themeColor="text1"/>
                <w:kern w:val="0"/>
                <w:sz w:val="30"/>
                <w:szCs w:val="30"/>
              </w:rPr>
              <w:t>研究院将以园中园或飞地园区的形式，快速落地运营好玉林数字经济产业园；在产业园中设置常态化运营团队，形成自治区层级和市级层面的双向联动，实现自治区政策在地市层面先行先试的示范效应；对玉林的典型应用进行梳理汇报，并向全</w:t>
            </w:r>
            <w:r>
              <w:rPr>
                <w:rFonts w:hint="eastAsia" w:eastAsia="楷体_GB2312"/>
                <w:snapToGrid w:val="0"/>
                <w:color w:val="000000" w:themeColor="text1"/>
                <w:kern w:val="0"/>
                <w:sz w:val="30"/>
                <w:szCs w:val="30"/>
              </w:rPr>
              <w:t>区</w:t>
            </w:r>
            <w:r>
              <w:rPr>
                <w:rFonts w:eastAsia="楷体_GB2312"/>
                <w:snapToGrid w:val="0"/>
                <w:color w:val="000000" w:themeColor="text1"/>
                <w:kern w:val="0"/>
                <w:sz w:val="30"/>
                <w:szCs w:val="30"/>
              </w:rPr>
              <w:t>推广；结合对玉林的深入研究，定期发布关于数字玉林的政策研究报告。重点围绕数字产业化、产业数字化开展深入研究。</w:t>
            </w:r>
          </w:p>
          <w:p>
            <w:pPr>
              <w:adjustRightInd w:val="0"/>
              <w:snapToGrid w:val="0"/>
              <w:spacing w:line="520" w:lineRule="exact"/>
              <w:ind w:firstLine="602" w:firstLineChars="200"/>
              <w:rPr>
                <w:rFonts w:ascii="楷体_GB2312" w:hAnsi="楷体_GB2312" w:eastAsia="楷体_GB2312"/>
                <w:bCs/>
                <w:color w:val="000000" w:themeColor="text1"/>
                <w:kern w:val="21"/>
                <w:sz w:val="30"/>
                <w:szCs w:val="30"/>
              </w:rPr>
            </w:pPr>
            <w:r>
              <w:rPr>
                <w:rFonts w:hint="eastAsia" w:ascii="楷体_GB2312" w:hAnsi="楷体_GB2312" w:eastAsia="楷体_GB2312"/>
                <w:b/>
                <w:color w:val="000000" w:themeColor="text1"/>
                <w:kern w:val="21"/>
                <w:sz w:val="30"/>
                <w:szCs w:val="30"/>
              </w:rPr>
              <w:t>数字经济新型孵化载体创建行动：</w:t>
            </w:r>
            <w:r>
              <w:rPr>
                <w:rFonts w:eastAsia="楷体_GB2312"/>
                <w:bCs/>
                <w:color w:val="000000" w:themeColor="text1"/>
                <w:kern w:val="21"/>
                <w:sz w:val="30"/>
                <w:szCs w:val="30"/>
              </w:rPr>
              <w:t>到2025年，力争新增数字经济领域</w:t>
            </w:r>
            <w:r>
              <w:rPr>
                <w:rFonts w:hint="eastAsia" w:eastAsia="楷体_GB2312"/>
                <w:bCs/>
                <w:color w:val="000000" w:themeColor="text1"/>
                <w:kern w:val="21"/>
                <w:sz w:val="30"/>
                <w:szCs w:val="30"/>
              </w:rPr>
              <w:t>自治区</w:t>
            </w:r>
            <w:r>
              <w:rPr>
                <w:rFonts w:eastAsia="楷体_GB2312"/>
                <w:bCs/>
                <w:color w:val="000000" w:themeColor="text1"/>
                <w:kern w:val="21"/>
                <w:sz w:val="30"/>
                <w:szCs w:val="30"/>
              </w:rPr>
              <w:t>级产业创新服务综合体1家，</w:t>
            </w:r>
            <w:r>
              <w:rPr>
                <w:rFonts w:hint="eastAsia" w:eastAsia="楷体_GB2312"/>
                <w:bCs/>
                <w:color w:val="000000" w:themeColor="text1"/>
                <w:kern w:val="21"/>
                <w:sz w:val="30"/>
                <w:szCs w:val="30"/>
              </w:rPr>
              <w:t>自治区级</w:t>
            </w:r>
            <w:r>
              <w:rPr>
                <w:rFonts w:eastAsia="楷体_GB2312"/>
                <w:bCs/>
                <w:color w:val="000000" w:themeColor="text1"/>
                <w:kern w:val="21"/>
                <w:sz w:val="30"/>
                <w:szCs w:val="30"/>
              </w:rPr>
              <w:t>以上制造业创新中心1个，</w:t>
            </w:r>
            <w:r>
              <w:rPr>
                <w:rFonts w:hint="eastAsia" w:eastAsia="楷体_GB2312"/>
                <w:bCs/>
                <w:color w:val="000000" w:themeColor="text1"/>
                <w:kern w:val="21"/>
                <w:sz w:val="30"/>
                <w:szCs w:val="30"/>
              </w:rPr>
              <w:t>自治区级</w:t>
            </w:r>
            <w:r>
              <w:rPr>
                <w:rFonts w:eastAsia="楷体_GB2312"/>
                <w:bCs/>
                <w:color w:val="000000" w:themeColor="text1"/>
                <w:kern w:val="21"/>
                <w:sz w:val="30"/>
                <w:szCs w:val="30"/>
              </w:rPr>
              <w:t>以上数字经济特色小镇1-2</w:t>
            </w:r>
            <w:r>
              <w:rPr>
                <w:rFonts w:ascii="楷体_GB2312" w:hAnsi="楷体_GB2312" w:eastAsia="楷体_GB2312"/>
                <w:bCs/>
                <w:color w:val="000000" w:themeColor="text1"/>
                <w:kern w:val="21"/>
                <w:sz w:val="30"/>
                <w:szCs w:val="30"/>
              </w:rPr>
              <w:t>个，数字经济产业</w:t>
            </w:r>
            <w:r>
              <w:rPr>
                <w:rFonts w:eastAsia="楷体_GB2312"/>
                <w:bCs/>
                <w:color w:val="000000" w:themeColor="text1"/>
                <w:kern w:val="21"/>
                <w:sz w:val="30"/>
                <w:szCs w:val="30"/>
              </w:rPr>
              <w:t>园1</w:t>
            </w:r>
            <w:r>
              <w:rPr>
                <w:rFonts w:ascii="楷体_GB2312" w:hAnsi="楷体_GB2312" w:eastAsia="楷体_GB2312"/>
                <w:bCs/>
                <w:color w:val="000000" w:themeColor="text1"/>
                <w:kern w:val="21"/>
                <w:sz w:val="30"/>
                <w:szCs w:val="30"/>
              </w:rPr>
              <w:t>个</w:t>
            </w:r>
            <w:r>
              <w:rPr>
                <w:rFonts w:hint="eastAsia" w:ascii="楷体_GB2312" w:hAnsi="楷体_GB2312" w:eastAsia="楷体_GB2312"/>
                <w:bCs/>
                <w:color w:val="000000" w:themeColor="text1"/>
                <w:kern w:val="21"/>
                <w:sz w:val="30"/>
                <w:szCs w:val="30"/>
              </w:rPr>
              <w:t>。</w:t>
            </w:r>
          </w:p>
          <w:p>
            <w:pPr>
              <w:adjustRightInd w:val="0"/>
              <w:snapToGrid w:val="0"/>
              <w:spacing w:line="520" w:lineRule="exact"/>
              <w:ind w:firstLine="602" w:firstLineChars="200"/>
              <w:rPr>
                <w:rFonts w:ascii="楷体_GB2312" w:hAnsi="楷体_GB2312" w:eastAsia="楷体_GB2312"/>
                <w:bCs/>
                <w:color w:val="000000" w:themeColor="text1"/>
                <w:kern w:val="21"/>
                <w:sz w:val="30"/>
                <w:szCs w:val="30"/>
              </w:rPr>
            </w:pPr>
            <w:r>
              <w:rPr>
                <w:rFonts w:hint="eastAsia" w:ascii="楷体_GB2312" w:hAnsi="楷体_GB2312" w:eastAsia="楷体_GB2312"/>
                <w:b/>
                <w:color w:val="000000" w:themeColor="text1"/>
                <w:kern w:val="21"/>
                <w:sz w:val="30"/>
                <w:szCs w:val="30"/>
              </w:rPr>
              <w:t>数字技术研发创新工程：</w:t>
            </w:r>
            <w:r>
              <w:rPr>
                <w:rFonts w:hint="eastAsia" w:ascii="楷体_GB2312" w:hAnsi="楷体_GB2312" w:eastAsia="楷体_GB2312"/>
                <w:bCs/>
                <w:color w:val="000000" w:themeColor="text1"/>
                <w:kern w:val="21"/>
                <w:sz w:val="30"/>
                <w:szCs w:val="30"/>
              </w:rPr>
              <w:t>聚焦提升大数据智能化产业发展和智能化应用自主创新能力，围绕大数据、智能感知、人机交互、物联网等重点产业领域创新发展需求，从共性关键技术研发、产品开发与产业化、实用技术推广应用示范进行布局，加强产学研用深度融合，策划实施科技项目。</w:t>
            </w:r>
          </w:p>
        </w:tc>
      </w:tr>
    </w:tbl>
    <w:p>
      <w:pPr>
        <w:pStyle w:val="5"/>
        <w:keepNext w:val="0"/>
        <w:keepLines w:val="0"/>
        <w:adjustRightInd w:val="0"/>
        <w:snapToGrid w:val="0"/>
        <w:spacing w:before="0" w:after="0" w:line="600" w:lineRule="exact"/>
        <w:ind w:firstLine="640"/>
        <w:jc w:val="both"/>
        <w:rPr>
          <w:rFonts w:ascii="Times New Roman" w:hAnsi="Times New Roman" w:eastAsia="方正楷体_GBK" w:cs="方正楷体_GBK"/>
          <w:bCs w:val="0"/>
          <w:color w:val="000000" w:themeColor="text1"/>
          <w:kern w:val="21"/>
        </w:rPr>
      </w:pPr>
      <w:bookmarkStart w:id="62" w:name="_Toc93410002"/>
      <w:r>
        <w:rPr>
          <w:rFonts w:hint="eastAsia" w:ascii="Times New Roman" w:hAnsi="Times New Roman" w:eastAsia="方正楷体_GBK" w:cs="方正楷体_GBK"/>
          <w:bCs w:val="0"/>
          <w:color w:val="000000" w:themeColor="text1"/>
          <w:kern w:val="21"/>
        </w:rPr>
        <w:t>（四）奋力扩规模提品质，建设高效数字政府</w:t>
      </w:r>
      <w:bookmarkEnd w:id="62"/>
    </w:p>
    <w:p>
      <w:pPr>
        <w:pStyle w:val="33"/>
        <w:spacing w:before="0" w:after="0" w:line="600" w:lineRule="exact"/>
        <w:ind w:firstLine="680" w:firstLineChars="200"/>
        <w:jc w:val="both"/>
        <w:rPr>
          <w:rFonts w:ascii="仿宋_GB2312" w:eastAsia="仿宋_GB2312"/>
          <w:bCs w:val="0"/>
          <w:color w:val="000000" w:themeColor="text1"/>
          <w:sz w:val="32"/>
          <w:szCs w:val="32"/>
        </w:rPr>
      </w:pPr>
      <w:r>
        <w:rPr>
          <w:rFonts w:hint="eastAsia" w:ascii="仿宋_GB2312" w:eastAsia="仿宋_GB2312"/>
          <w:bCs w:val="0"/>
          <w:color w:val="000000" w:themeColor="text1"/>
          <w:sz w:val="32"/>
          <w:szCs w:val="32"/>
        </w:rPr>
        <w:t>运用数字化技术、数字化思维、数字化认知，全域推进市域治理的体制机制、组织架构、方式流程和手段工具重塑，构建互联融通、数据同源、服务同根、高效协同的数字政务体系，全力深化一云承载、一网通达、一池共享、一事通办、一体安全的“五个一”政务数据治理工作，助力打造“一核驱动、五个管用、多维创新”发展新模式，推动政务服务跨入精细化新阶段。</w:t>
      </w:r>
    </w:p>
    <w:p>
      <w:pPr>
        <w:pStyle w:val="6"/>
        <w:spacing w:before="0" w:after="0" w:line="600" w:lineRule="exact"/>
        <w:ind w:firstLine="643" w:firstLineChars="200"/>
        <w:rPr>
          <w:rFonts w:eastAsia="楷体_GB2312"/>
          <w:color w:val="000000" w:themeColor="text1"/>
        </w:rPr>
      </w:pPr>
      <w:bookmarkStart w:id="63" w:name="_Toc93410003"/>
      <w:r>
        <w:rPr>
          <w:rFonts w:hint="eastAsia" w:eastAsia="楷体_GB2312"/>
          <w:color w:val="000000" w:themeColor="text1"/>
        </w:rPr>
        <w:t>1.增强数字政府基础能力</w:t>
      </w:r>
      <w:bookmarkEnd w:id="63"/>
    </w:p>
    <w:p>
      <w:pPr>
        <w:pStyle w:val="33"/>
        <w:spacing w:before="0" w:after="0" w:line="600" w:lineRule="exact"/>
        <w:ind w:firstLine="683" w:firstLineChars="200"/>
        <w:jc w:val="both"/>
        <w:rPr>
          <w:rFonts w:ascii="仿宋_GB2312" w:eastAsia="仿宋_GB2312"/>
          <w:bCs w:val="0"/>
          <w:color w:val="000000" w:themeColor="text1"/>
          <w:sz w:val="32"/>
          <w:szCs w:val="32"/>
        </w:rPr>
      </w:pPr>
      <w:r>
        <w:rPr>
          <w:rFonts w:hint="eastAsia" w:ascii="楷体_GB2312" w:hAnsi="楷体_GB2312" w:eastAsia="楷体_GB2312"/>
          <w:b/>
          <w:color w:val="000000" w:themeColor="text1"/>
          <w:sz w:val="32"/>
          <w:szCs w:val="32"/>
        </w:rPr>
        <w:t>优化政务（鲲鹏）云服务能力。</w:t>
      </w:r>
      <w:r>
        <w:rPr>
          <w:rFonts w:hint="eastAsia" w:ascii="仿宋_GB2312" w:eastAsia="仿宋_GB2312"/>
          <w:bCs w:val="0"/>
          <w:color w:val="000000" w:themeColor="text1"/>
          <w:sz w:val="32"/>
          <w:szCs w:val="32"/>
        </w:rPr>
        <w:t>全力融入“</w:t>
      </w:r>
      <w:r>
        <w:rPr>
          <w:rFonts w:eastAsia="仿宋_GB2312"/>
          <w:bCs w:val="0"/>
          <w:color w:val="000000" w:themeColor="text1"/>
          <w:sz w:val="32"/>
          <w:szCs w:val="32"/>
        </w:rPr>
        <w:t>1+N+14</w:t>
      </w:r>
      <w:r>
        <w:rPr>
          <w:rFonts w:hint="eastAsia" w:ascii="仿宋_GB2312" w:eastAsia="仿宋_GB2312"/>
          <w:bCs w:val="0"/>
          <w:color w:val="000000" w:themeColor="text1"/>
          <w:sz w:val="32"/>
          <w:szCs w:val="32"/>
        </w:rPr>
        <w:t>”架构的“壮美广西·政务云”建设，推进计算、存储等资源扩容，提供“按需分配、弹性伸缩”的基础软硬件云服务，进一步提升“一云承载”“多云共治”运行效率。持续巩固数据上云“三个</w:t>
      </w:r>
      <w:r>
        <w:rPr>
          <w:rFonts w:hint="eastAsia" w:eastAsia="仿宋_GB2312"/>
          <w:bCs w:val="0"/>
          <w:color w:val="000000" w:themeColor="text1"/>
          <w:sz w:val="32"/>
          <w:szCs w:val="32"/>
        </w:rPr>
        <w:t>1</w:t>
      </w:r>
      <w:r>
        <w:rPr>
          <w:rFonts w:eastAsia="仿宋_GB2312"/>
          <w:bCs w:val="0"/>
          <w:color w:val="000000" w:themeColor="text1"/>
          <w:sz w:val="32"/>
          <w:szCs w:val="32"/>
        </w:rPr>
        <w:t>00%</w:t>
      </w:r>
      <w:r>
        <w:rPr>
          <w:rFonts w:hint="eastAsia" w:ascii="仿宋_GB2312" w:eastAsia="仿宋_GB2312"/>
          <w:bCs w:val="0"/>
          <w:color w:val="000000" w:themeColor="text1"/>
          <w:sz w:val="32"/>
          <w:szCs w:val="32"/>
        </w:rPr>
        <w:t>”成果，健全政务数据共享协调机制，解决部门不敢共享、不愿共享、不会共享的现实问题，进一步推进资源整合、数据融合，全面梳理政务数据共享需求，明确数据共享责任，编制“三清单”，推动数据“一池共享”新模式建设，完成“两个五星级”数据资源质量提升。完善规范可靠的政务云容灾备份体系，保障政务应用安全稳定运行，探索“一体安全”新体系。</w:t>
      </w:r>
    </w:p>
    <w:p>
      <w:pPr>
        <w:pStyle w:val="33"/>
        <w:spacing w:before="0" w:after="0" w:line="600" w:lineRule="exact"/>
        <w:ind w:firstLine="683" w:firstLineChars="200"/>
        <w:jc w:val="both"/>
        <w:rPr>
          <w:rFonts w:ascii="仿宋_GB2312" w:eastAsia="仿宋_GB2312"/>
          <w:bCs w:val="0"/>
          <w:color w:val="000000" w:themeColor="text1"/>
          <w:sz w:val="32"/>
          <w:szCs w:val="32"/>
        </w:rPr>
      </w:pPr>
      <w:r>
        <w:rPr>
          <w:rFonts w:hint="eastAsia" w:ascii="楷体_GB2312" w:hAnsi="楷体_GB2312" w:eastAsia="楷体_GB2312"/>
          <w:b/>
          <w:color w:val="000000" w:themeColor="text1"/>
          <w:sz w:val="32"/>
          <w:szCs w:val="32"/>
        </w:rPr>
        <w:t>持续夯实政务服务管理体系。</w:t>
      </w:r>
      <w:r>
        <w:rPr>
          <w:rFonts w:hint="eastAsia" w:ascii="仿宋_GB2312" w:eastAsia="仿宋_GB2312"/>
          <w:bCs w:val="0"/>
          <w:color w:val="000000" w:themeColor="text1"/>
          <w:sz w:val="32"/>
          <w:szCs w:val="32"/>
        </w:rPr>
        <w:t>持续完善网络服务目录、网络接入标准、网络服务结算管理办法等制度，实现向服务型网络转变。不断完善服务管理体系，推动网络基础设施软件定义网络、网络功能虚拟化技术应用，实现政务网络精细化管理。加快推进非涉密业务专网迁移整合和非涉密信息系统迁移上云，加强政府网站上云后的日常技术运维、业务运营及安全保障工作，进一步提升政府网站资源优化融合、数据互认共享、服务便捷高效的水平，全面加强数字政府建设核心资源供给能力。</w:t>
      </w:r>
    </w:p>
    <w:p>
      <w:pPr>
        <w:pStyle w:val="33"/>
        <w:spacing w:before="0" w:after="0" w:line="600" w:lineRule="exact"/>
        <w:ind w:firstLine="683" w:firstLineChars="200"/>
        <w:jc w:val="both"/>
        <w:rPr>
          <w:rFonts w:ascii="仿宋_GB2312" w:eastAsia="仿宋_GB2312"/>
          <w:bCs w:val="0"/>
          <w:color w:val="000000" w:themeColor="text1"/>
          <w:sz w:val="32"/>
          <w:szCs w:val="32"/>
        </w:rPr>
      </w:pPr>
      <w:r>
        <w:rPr>
          <w:rFonts w:hint="eastAsia" w:ascii="楷体_GB2312" w:hAnsi="楷体_GB2312" w:eastAsia="楷体_GB2312"/>
          <w:b/>
          <w:color w:val="000000" w:themeColor="text1"/>
          <w:sz w:val="32"/>
          <w:szCs w:val="32"/>
        </w:rPr>
        <w:t>加强政务协同办公一体化建设。</w:t>
      </w:r>
      <w:r>
        <w:rPr>
          <w:rFonts w:hint="eastAsia" w:ascii="仿宋_GB2312" w:eastAsia="仿宋_GB2312"/>
          <w:bCs w:val="0"/>
          <w:color w:val="000000" w:themeColor="text1"/>
          <w:sz w:val="32"/>
          <w:szCs w:val="32"/>
        </w:rPr>
        <w:t>以数字化改革为牵引，建立政府机关核心业务全覆盖、横向纵向全贯通的全方位数字化工作体系，不断提升跨层级、跨地域、跨部门、跨系统、跨业务的协同管理和服务水平。构建态势感知体系，强化安全管理保障、安全技术保障以及安全运营保障。提升党政机关信息化水平。建立与银行、企业、社会组织等业务和数据对接通道，探索建立市县一体、部门协同、政银企社联动的数字政府建设机制。</w:t>
      </w:r>
    </w:p>
    <w:p>
      <w:pPr>
        <w:pStyle w:val="33"/>
        <w:spacing w:before="0" w:after="0" w:line="600" w:lineRule="exact"/>
        <w:ind w:firstLine="683" w:firstLineChars="200"/>
        <w:jc w:val="both"/>
        <w:rPr>
          <w:rFonts w:ascii="仿宋_GB2312" w:eastAsia="仿宋_GB2312"/>
          <w:bCs w:val="0"/>
          <w:color w:val="000000" w:themeColor="text1"/>
          <w:sz w:val="32"/>
          <w:szCs w:val="32"/>
        </w:rPr>
      </w:pPr>
      <w:r>
        <w:rPr>
          <w:rFonts w:hint="eastAsia" w:ascii="楷体_GB2312" w:hAnsi="楷体_GB2312" w:eastAsia="楷体_GB2312"/>
          <w:b/>
          <w:color w:val="000000" w:themeColor="text1"/>
          <w:sz w:val="32"/>
          <w:szCs w:val="32"/>
        </w:rPr>
        <w:t>增强新型数字基础设施支撑能力。</w:t>
      </w:r>
      <w:r>
        <w:rPr>
          <w:rFonts w:hint="eastAsia" w:ascii="仿宋_GB2312" w:eastAsia="仿宋_GB2312"/>
          <w:bCs w:val="0"/>
          <w:color w:val="000000" w:themeColor="text1"/>
          <w:sz w:val="32"/>
          <w:szCs w:val="32"/>
        </w:rPr>
        <w:t>探索区块链在数字政府建设中的应用，落地“区块链+数字政府”场景。以政务数据、行业数据为基础，构建统一人工智</w:t>
      </w:r>
      <w:r>
        <w:rPr>
          <w:rFonts w:eastAsia="仿宋_GB2312"/>
          <w:bCs w:val="0"/>
          <w:color w:val="000000" w:themeColor="text1"/>
          <w:sz w:val="32"/>
          <w:szCs w:val="32"/>
        </w:rPr>
        <w:t>能（AI）</w:t>
      </w:r>
      <w:r>
        <w:rPr>
          <w:rFonts w:hint="eastAsia" w:ascii="仿宋_GB2312" w:eastAsia="仿宋_GB2312"/>
          <w:bCs w:val="0"/>
          <w:color w:val="000000" w:themeColor="text1"/>
          <w:sz w:val="32"/>
          <w:szCs w:val="32"/>
        </w:rPr>
        <w:t>基础平台，提供</w:t>
      </w:r>
      <w:r>
        <w:rPr>
          <w:rFonts w:eastAsia="仿宋_GB2312"/>
          <w:bCs w:val="0"/>
          <w:color w:val="000000" w:themeColor="text1"/>
          <w:sz w:val="32"/>
          <w:szCs w:val="32"/>
        </w:rPr>
        <w:t>人工智能（AI）算法中</w:t>
      </w:r>
      <w:r>
        <w:rPr>
          <w:rFonts w:hint="eastAsia" w:ascii="仿宋_GB2312" w:eastAsia="仿宋_GB2312"/>
          <w:bCs w:val="0"/>
          <w:color w:val="000000" w:themeColor="text1"/>
          <w:sz w:val="32"/>
          <w:szCs w:val="32"/>
        </w:rPr>
        <w:t>心、原子能力中心等支撑</w:t>
      </w:r>
      <w:r>
        <w:rPr>
          <w:rFonts w:eastAsia="仿宋_GB2312"/>
          <w:bCs w:val="0"/>
          <w:color w:val="000000" w:themeColor="text1"/>
          <w:sz w:val="32"/>
          <w:szCs w:val="32"/>
        </w:rPr>
        <w:t>，为数字政府建设运行提供人工智能技术实验场。探索运用IPv6+、5G等技术</w:t>
      </w:r>
      <w:r>
        <w:rPr>
          <w:rFonts w:hint="eastAsia" w:ascii="仿宋_GB2312" w:eastAsia="仿宋_GB2312"/>
          <w:bCs w:val="0"/>
          <w:color w:val="000000" w:themeColor="text1"/>
          <w:sz w:val="32"/>
          <w:szCs w:val="32"/>
        </w:rPr>
        <w:t>，构建云网一体、固移融合、动态防护、智能运管的一体化智慧政务云网体系。建设“空天地人车”感知设施，做好城管基础数据汇聚，构建城市管理基础数据本地库。</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33"/>
              <w:spacing w:before="0" w:after="0" w:line="600" w:lineRule="exact"/>
              <w:jc w:val="center"/>
              <w:rPr>
                <w:rFonts w:eastAsia="方正黑体_GBK" w:cs="方正黑体_GBK"/>
                <w:bCs w:val="0"/>
                <w:color w:val="000000" w:themeColor="text1"/>
                <w:kern w:val="21"/>
                <w:sz w:val="28"/>
                <w:szCs w:val="28"/>
              </w:rPr>
            </w:pPr>
            <w:r>
              <w:rPr>
                <w:rFonts w:hint="eastAsia" w:ascii="黑体" w:hAnsi="黑体" w:eastAsia="黑体"/>
                <w:color w:val="000000" w:themeColor="text1"/>
                <w:kern w:val="21"/>
                <w:sz w:val="30"/>
                <w:szCs w:val="30"/>
              </w:rPr>
              <w:t>专栏</w:t>
            </w:r>
            <w:r>
              <w:rPr>
                <w:rFonts w:ascii="黑体" w:hAnsi="黑体" w:eastAsia="黑体"/>
                <w:color w:val="000000" w:themeColor="text1"/>
                <w:kern w:val="21"/>
                <w:sz w:val="30"/>
                <w:szCs w:val="30"/>
              </w:rPr>
              <w:t>11</w:t>
            </w:r>
            <w:r>
              <w:rPr>
                <w:rFonts w:hint="eastAsia" w:ascii="黑体" w:hAnsi="黑体" w:eastAsia="黑体"/>
                <w:color w:val="000000" w:themeColor="text1"/>
                <w:kern w:val="21"/>
                <w:sz w:val="30"/>
                <w:szCs w:val="30"/>
              </w:rPr>
              <w:t xml:space="preserve"> 提升数字政府基础能力重点工程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djustRightInd w:val="0"/>
              <w:snapToGrid w:val="0"/>
              <w:spacing w:line="520" w:lineRule="exact"/>
              <w:ind w:firstLine="602" w:firstLineChars="200"/>
              <w:rPr>
                <w:rFonts w:ascii="楷体_GB2312" w:hAnsi="楷体_GB2312" w:eastAsia="楷体_GB2312"/>
                <w:b/>
                <w:color w:val="000000" w:themeColor="text1"/>
                <w:kern w:val="21"/>
                <w:sz w:val="30"/>
                <w:szCs w:val="30"/>
              </w:rPr>
            </w:pPr>
            <w:r>
              <w:rPr>
                <w:rFonts w:hint="eastAsia" w:ascii="楷体_GB2312" w:hAnsi="楷体_GB2312" w:eastAsia="楷体_GB2312"/>
                <w:b/>
                <w:color w:val="000000" w:themeColor="text1"/>
                <w:kern w:val="21"/>
                <w:sz w:val="30"/>
                <w:szCs w:val="30"/>
              </w:rPr>
              <w:t>通过“一云一网一仓一心多平台”建设全面提升数字政府基础能力。</w:t>
            </w:r>
          </w:p>
          <w:p>
            <w:pPr>
              <w:adjustRightInd w:val="0"/>
              <w:snapToGrid w:val="0"/>
              <w:spacing w:line="520" w:lineRule="exact"/>
              <w:ind w:firstLine="602" w:firstLineChars="200"/>
              <w:rPr>
                <w:rFonts w:ascii="楷体_GB2312" w:hAnsi="楷体_GB2312" w:eastAsia="楷体_GB2312"/>
                <w:bCs/>
                <w:color w:val="000000" w:themeColor="text1"/>
                <w:kern w:val="21"/>
                <w:sz w:val="30"/>
                <w:szCs w:val="30"/>
              </w:rPr>
            </w:pPr>
            <w:r>
              <w:rPr>
                <w:rFonts w:hint="eastAsia" w:ascii="楷体_GB2312" w:hAnsi="楷体_GB2312" w:eastAsia="楷体_GB2312"/>
                <w:b/>
                <w:color w:val="000000" w:themeColor="text1"/>
                <w:kern w:val="21"/>
                <w:sz w:val="30"/>
                <w:szCs w:val="30"/>
              </w:rPr>
              <w:t>一云：</w:t>
            </w:r>
            <w:r>
              <w:rPr>
                <w:rFonts w:hint="eastAsia" w:ascii="楷体_GB2312" w:hAnsi="楷体_GB2312" w:eastAsia="楷体_GB2312"/>
                <w:bCs/>
                <w:color w:val="000000" w:themeColor="text1"/>
                <w:kern w:val="21"/>
                <w:sz w:val="30"/>
                <w:szCs w:val="30"/>
              </w:rPr>
              <w:t>以政务（鲲鹏）云为基础，强化政务云</w:t>
            </w:r>
            <w:r>
              <w:rPr>
                <w:rFonts w:eastAsia="楷体_GB2312"/>
                <w:bCs/>
                <w:color w:val="000000" w:themeColor="text1"/>
                <w:kern w:val="21"/>
                <w:sz w:val="30"/>
                <w:szCs w:val="30"/>
              </w:rPr>
              <w:t>IaaS、PaaS</w:t>
            </w:r>
            <w:r>
              <w:rPr>
                <w:rFonts w:hint="eastAsia" w:ascii="楷体_GB2312" w:hAnsi="楷体_GB2312" w:eastAsia="楷体_GB2312"/>
                <w:bCs/>
                <w:color w:val="000000" w:themeColor="text1"/>
                <w:kern w:val="21"/>
                <w:sz w:val="30"/>
                <w:szCs w:val="30"/>
              </w:rPr>
              <w:t>服务能力，为全市各单位的政务信息系统提供虚拟机服务、物理机服务、云硬盘服务</w:t>
            </w:r>
            <w:r>
              <w:rPr>
                <w:rFonts w:eastAsia="楷体_GB2312"/>
                <w:bCs/>
                <w:color w:val="000000" w:themeColor="text1"/>
                <w:kern w:val="21"/>
                <w:sz w:val="30"/>
                <w:szCs w:val="30"/>
              </w:rPr>
              <w:t>等IaaS服</w:t>
            </w:r>
            <w:r>
              <w:rPr>
                <w:rFonts w:hint="eastAsia" w:ascii="楷体_GB2312" w:hAnsi="楷体_GB2312" w:eastAsia="楷体_GB2312"/>
                <w:bCs/>
                <w:color w:val="000000" w:themeColor="text1"/>
                <w:kern w:val="21"/>
                <w:sz w:val="30"/>
                <w:szCs w:val="30"/>
              </w:rPr>
              <w:t>务，数据库服务、中间件服务等PaaS服务，提供灾备及政务云平台运营管理等服务。</w:t>
            </w:r>
          </w:p>
          <w:p>
            <w:pPr>
              <w:adjustRightInd w:val="0"/>
              <w:snapToGrid w:val="0"/>
              <w:spacing w:line="520" w:lineRule="exact"/>
              <w:ind w:firstLine="602" w:firstLineChars="200"/>
              <w:rPr>
                <w:rFonts w:ascii="楷体_GB2312" w:hAnsi="楷体_GB2312" w:eastAsia="楷体_GB2312"/>
                <w:bCs/>
                <w:color w:val="000000" w:themeColor="text1"/>
                <w:kern w:val="21"/>
                <w:sz w:val="30"/>
                <w:szCs w:val="30"/>
              </w:rPr>
            </w:pPr>
            <w:r>
              <w:rPr>
                <w:rFonts w:hint="eastAsia" w:ascii="楷体_GB2312" w:hAnsi="楷体_GB2312" w:eastAsia="楷体_GB2312"/>
                <w:b/>
                <w:color w:val="000000" w:themeColor="text1"/>
                <w:kern w:val="21"/>
                <w:sz w:val="30"/>
                <w:szCs w:val="30"/>
              </w:rPr>
              <w:t>一网：</w:t>
            </w:r>
            <w:r>
              <w:rPr>
                <w:rFonts w:hint="eastAsia" w:ascii="楷体_GB2312" w:hAnsi="楷体_GB2312" w:eastAsia="楷体_GB2312"/>
                <w:bCs/>
                <w:color w:val="000000" w:themeColor="text1"/>
                <w:kern w:val="21"/>
                <w:sz w:val="30"/>
                <w:szCs w:val="30"/>
              </w:rPr>
              <w:t>在实现政府部门网站数据迁移的基础上，加快推进政务外网与部门非涉密业务专网的整合对接。加快全市电子政务外网</w:t>
            </w:r>
            <w:r>
              <w:rPr>
                <w:rFonts w:eastAsia="楷体_GB2312"/>
                <w:bCs/>
                <w:color w:val="000000" w:themeColor="text1"/>
                <w:kern w:val="21"/>
                <w:sz w:val="30"/>
                <w:szCs w:val="30"/>
              </w:rPr>
              <w:t>IPv6改造，推进IPv6互</w:t>
            </w:r>
            <w:r>
              <w:rPr>
                <w:rFonts w:hint="eastAsia" w:ascii="楷体_GB2312" w:hAnsi="楷体_GB2312" w:eastAsia="楷体_GB2312"/>
                <w:bCs/>
                <w:color w:val="000000" w:themeColor="text1"/>
                <w:kern w:val="21"/>
                <w:sz w:val="30"/>
                <w:szCs w:val="30"/>
              </w:rPr>
              <w:t>联网出口扩容。</w:t>
            </w:r>
          </w:p>
          <w:p>
            <w:pPr>
              <w:adjustRightInd w:val="0"/>
              <w:snapToGrid w:val="0"/>
              <w:spacing w:line="520" w:lineRule="exact"/>
              <w:ind w:firstLine="602" w:firstLineChars="200"/>
              <w:rPr>
                <w:rFonts w:ascii="楷体_GB2312" w:hAnsi="楷体_GB2312" w:eastAsia="楷体_GB2312"/>
                <w:bCs/>
                <w:color w:val="000000" w:themeColor="text1"/>
                <w:kern w:val="21"/>
                <w:sz w:val="30"/>
                <w:szCs w:val="30"/>
              </w:rPr>
            </w:pPr>
            <w:r>
              <w:rPr>
                <w:rFonts w:hint="eastAsia" w:ascii="楷体_GB2312" w:hAnsi="楷体_GB2312" w:eastAsia="楷体_GB2312"/>
                <w:b/>
                <w:color w:val="000000" w:themeColor="text1"/>
                <w:kern w:val="21"/>
                <w:sz w:val="30"/>
                <w:szCs w:val="30"/>
              </w:rPr>
              <w:t>一仓：</w:t>
            </w:r>
            <w:r>
              <w:rPr>
                <w:rFonts w:hint="eastAsia" w:ascii="楷体_GB2312" w:hAnsi="楷体_GB2312" w:eastAsia="楷体_GB2312"/>
                <w:bCs/>
                <w:color w:val="000000" w:themeColor="text1"/>
                <w:kern w:val="21"/>
                <w:sz w:val="30"/>
                <w:szCs w:val="30"/>
              </w:rPr>
              <w:t>推进市、县（市、区）、镇（街）数据仓建设，健全政务数据共享协调机制，按照“一数一源、一源多用”的原则，推动数据的一次采集、共享使用，解决部门不敢共享、不愿共享、不会共享的现实问题，加快推进数据有序共享。</w:t>
            </w:r>
          </w:p>
          <w:p>
            <w:pPr>
              <w:adjustRightInd w:val="0"/>
              <w:snapToGrid w:val="0"/>
              <w:spacing w:line="520" w:lineRule="exact"/>
              <w:ind w:firstLine="602" w:firstLineChars="200"/>
              <w:rPr>
                <w:rFonts w:ascii="楷体_GB2312" w:hAnsi="楷体_GB2312" w:eastAsia="楷体_GB2312"/>
                <w:bCs/>
                <w:color w:val="000000" w:themeColor="text1"/>
                <w:kern w:val="21"/>
                <w:sz w:val="30"/>
                <w:szCs w:val="30"/>
              </w:rPr>
            </w:pPr>
            <w:r>
              <w:rPr>
                <w:rFonts w:hint="eastAsia" w:ascii="楷体_GB2312" w:hAnsi="楷体_GB2312" w:eastAsia="楷体_GB2312"/>
                <w:b/>
                <w:color w:val="000000" w:themeColor="text1"/>
                <w:kern w:val="21"/>
                <w:sz w:val="30"/>
                <w:szCs w:val="30"/>
              </w:rPr>
              <w:t>一心：</w:t>
            </w:r>
            <w:r>
              <w:rPr>
                <w:rFonts w:hint="eastAsia" w:ascii="楷体_GB2312" w:hAnsi="楷体_GB2312" w:eastAsia="楷体_GB2312"/>
                <w:bCs/>
                <w:color w:val="000000" w:themeColor="text1"/>
                <w:kern w:val="21"/>
                <w:sz w:val="30"/>
                <w:szCs w:val="30"/>
              </w:rPr>
              <w:t>依托玉林孪生计算与大数据云服务中心，构建开放共享的人工智能</w:t>
            </w:r>
            <w:r>
              <w:rPr>
                <w:rFonts w:eastAsia="楷体_GB2312"/>
                <w:bCs/>
                <w:color w:val="000000" w:themeColor="text1"/>
                <w:kern w:val="21"/>
                <w:sz w:val="30"/>
                <w:szCs w:val="30"/>
              </w:rPr>
              <w:t>（AI）</w:t>
            </w:r>
            <w:r>
              <w:rPr>
                <w:rFonts w:hint="eastAsia" w:ascii="楷体_GB2312" w:hAnsi="楷体_GB2312" w:eastAsia="楷体_GB2312"/>
                <w:bCs/>
                <w:color w:val="000000" w:themeColor="text1"/>
                <w:kern w:val="21"/>
                <w:sz w:val="30"/>
                <w:szCs w:val="30"/>
              </w:rPr>
              <w:t>基础体系，打造辐射全区的数字政府智能底座，为政府部门、相关企业和个人开发者提供人工智能</w:t>
            </w:r>
            <w:r>
              <w:rPr>
                <w:rFonts w:eastAsia="楷体_GB2312"/>
                <w:bCs/>
                <w:color w:val="000000" w:themeColor="text1"/>
                <w:kern w:val="21"/>
                <w:sz w:val="30"/>
                <w:szCs w:val="30"/>
              </w:rPr>
              <w:t>（AI）公</w:t>
            </w:r>
            <w:r>
              <w:rPr>
                <w:rFonts w:hint="eastAsia" w:ascii="楷体_GB2312" w:hAnsi="楷体_GB2312" w:eastAsia="楷体_GB2312"/>
                <w:bCs/>
                <w:color w:val="000000" w:themeColor="text1"/>
                <w:kern w:val="21"/>
                <w:sz w:val="30"/>
                <w:szCs w:val="30"/>
              </w:rPr>
              <w:t>共服务；逐步形成标准统一、开放共享的数字政府新公共组件，为开发业务应用提供更加快捷、高效、可靠的公共支撑。</w:t>
            </w:r>
          </w:p>
          <w:p>
            <w:pPr>
              <w:adjustRightInd w:val="0"/>
              <w:snapToGrid w:val="0"/>
              <w:spacing w:line="520" w:lineRule="exact"/>
              <w:ind w:firstLine="602" w:firstLineChars="200"/>
              <w:rPr>
                <w:rFonts w:eastAsia="方正仿宋_GBK"/>
                <w:b/>
                <w:color w:val="000000" w:themeColor="text1"/>
                <w:kern w:val="0"/>
                <w:sz w:val="32"/>
                <w:szCs w:val="32"/>
                <w:highlight w:val="yellow"/>
              </w:rPr>
            </w:pPr>
            <w:r>
              <w:rPr>
                <w:rFonts w:hint="eastAsia" w:ascii="楷体_GB2312" w:hAnsi="楷体_GB2312" w:eastAsia="楷体_GB2312"/>
                <w:b/>
                <w:color w:val="000000" w:themeColor="text1"/>
                <w:kern w:val="21"/>
                <w:sz w:val="30"/>
                <w:szCs w:val="30"/>
              </w:rPr>
              <w:t>多平台：</w:t>
            </w:r>
            <w:r>
              <w:rPr>
                <w:rFonts w:hint="eastAsia" w:ascii="楷体_GB2312" w:hAnsi="楷体_GB2312" w:eastAsia="楷体_GB2312"/>
                <w:bCs/>
                <w:color w:val="000000" w:themeColor="text1"/>
                <w:kern w:val="21"/>
                <w:sz w:val="30"/>
                <w:szCs w:val="30"/>
              </w:rPr>
              <w:t>助力推进自治区、市两级政务办公自动化平台对接，推动公共政务平台集约化建设。协助建设数字政府大脑，实现重点领域治理“一网通管”“一屏全览”“一网触达”。助力自治区数据共享交换平台、公共数据开放平台、档案信息资源共享服务平台、视频会议系统等应用平台建设。</w:t>
            </w:r>
          </w:p>
        </w:tc>
      </w:tr>
    </w:tbl>
    <w:p>
      <w:pPr>
        <w:pStyle w:val="6"/>
        <w:spacing w:before="0" w:after="0" w:line="600" w:lineRule="exact"/>
        <w:ind w:firstLine="643" w:firstLineChars="200"/>
        <w:rPr>
          <w:rFonts w:eastAsia="楷体_GB2312"/>
          <w:color w:val="000000" w:themeColor="text1"/>
        </w:rPr>
      </w:pPr>
      <w:bookmarkStart w:id="64" w:name="_Toc93410004"/>
      <w:r>
        <w:rPr>
          <w:rFonts w:hint="eastAsia" w:eastAsia="楷体_GB2312"/>
          <w:color w:val="000000" w:themeColor="text1"/>
        </w:rPr>
        <w:t>2</w:t>
      </w:r>
      <w:r>
        <w:rPr>
          <w:rFonts w:eastAsia="楷体_GB2312"/>
          <w:color w:val="000000" w:themeColor="text1"/>
        </w:rPr>
        <w:t>.</w:t>
      </w:r>
      <w:r>
        <w:rPr>
          <w:rFonts w:hint="eastAsia" w:eastAsia="楷体_GB2312"/>
          <w:color w:val="000000" w:themeColor="text1"/>
        </w:rPr>
        <w:t>提升数字政务服务效能</w:t>
      </w:r>
      <w:bookmarkEnd w:id="64"/>
    </w:p>
    <w:p>
      <w:pPr>
        <w:pStyle w:val="33"/>
        <w:spacing w:before="0" w:after="0" w:line="600" w:lineRule="exact"/>
        <w:ind w:firstLine="683" w:firstLineChars="200"/>
        <w:jc w:val="both"/>
        <w:rPr>
          <w:rFonts w:eastAsia="方正仿宋_GBK"/>
          <w:bCs w:val="0"/>
          <w:color w:val="000000" w:themeColor="text1"/>
          <w:sz w:val="32"/>
          <w:szCs w:val="32"/>
        </w:rPr>
      </w:pPr>
      <w:r>
        <w:rPr>
          <w:rFonts w:hint="eastAsia" w:ascii="楷体_GB2312" w:hAnsi="楷体_GB2312" w:eastAsia="楷体_GB2312"/>
          <w:b/>
          <w:color w:val="000000" w:themeColor="text1"/>
          <w:sz w:val="32"/>
          <w:szCs w:val="32"/>
        </w:rPr>
        <w:t>纵深推进“一机通办”。</w:t>
      </w:r>
      <w:r>
        <w:rPr>
          <w:rFonts w:hint="eastAsia" w:ascii="仿宋_GB2312" w:eastAsia="仿宋_GB2312"/>
          <w:bCs w:val="0"/>
          <w:color w:val="000000" w:themeColor="text1"/>
          <w:sz w:val="32"/>
          <w:szCs w:val="32"/>
        </w:rPr>
        <w:t>依托广西数字政务一体化平台、玉林市企业综合服务大数据平台，优化政务服务事项网上办理和服务流程，围绕群众“医、学、住、行、生、老、病、养”等领域，聚焦市场主体从注册到退出的“全生命周期”，推动与群众和企业密切相关的政务事项实现网上办理“应上尽上、上必能办”。打通业务审批系统和数据壁垒，推动电子证照、办事材料等共享和应用，持续深化“一网、一门、一次”改革，打造“一件事一次办”精品套餐服务，推动更多事项集成“一件事”，拓展“一件事”的适用领域、服务范围，实现更多政务服务网上办、掌上办、指尖办、一次办。从高频政务服务事项入手，继续加强与广东茂名市、湛江市的合作，大力推进政务服务“全区通办”“跨省通办”。整合接入便民惠企高频刚需服务，实现各类民生场景应用“一端”集成、“网购式”办事，推动服务领域由政务服务向城市生活、未来社区、数字乡村等领域延伸，打造成玉林政务服务“金名片”，打造“智桂通”移动生态体系。</w:t>
      </w:r>
      <w:r>
        <w:rPr>
          <w:rFonts w:eastAsia="仿宋_GB2312"/>
          <w:color w:val="000000" w:themeColor="text1"/>
          <w:sz w:val="32"/>
          <w:szCs w:val="32"/>
        </w:rPr>
        <w:t>到2025年，建成一批</w:t>
      </w:r>
      <w:r>
        <w:rPr>
          <w:rFonts w:hint="eastAsia" w:eastAsia="仿宋_GB2312"/>
          <w:color w:val="000000" w:themeColor="text1"/>
          <w:sz w:val="32"/>
          <w:szCs w:val="32"/>
        </w:rPr>
        <w:t>政务数字</w:t>
      </w:r>
      <w:r>
        <w:rPr>
          <w:rFonts w:eastAsia="仿宋_GB2312"/>
          <w:color w:val="000000" w:themeColor="text1"/>
          <w:sz w:val="32"/>
          <w:szCs w:val="32"/>
        </w:rPr>
        <w:t>服务新亮点，政务服务办件线上受理率</w:t>
      </w:r>
      <w:r>
        <w:rPr>
          <w:rFonts w:hint="eastAsia" w:eastAsia="仿宋_GB2312"/>
          <w:color w:val="000000" w:themeColor="text1"/>
          <w:sz w:val="32"/>
          <w:szCs w:val="32"/>
        </w:rPr>
        <w:t>达到90</w:t>
      </w:r>
      <w:r>
        <w:rPr>
          <w:rFonts w:eastAsia="仿宋_GB2312"/>
          <w:color w:val="000000" w:themeColor="text1"/>
          <w:sz w:val="32"/>
          <w:szCs w:val="32"/>
        </w:rPr>
        <w:t>%</w:t>
      </w:r>
      <w:r>
        <w:rPr>
          <w:rFonts w:hint="eastAsia" w:eastAsia="仿宋_GB2312"/>
          <w:color w:val="000000" w:themeColor="text1"/>
          <w:sz w:val="32"/>
          <w:szCs w:val="32"/>
        </w:rPr>
        <w:t>。</w:t>
      </w:r>
    </w:p>
    <w:p>
      <w:pPr>
        <w:pStyle w:val="33"/>
        <w:spacing w:before="0" w:after="0" w:line="600" w:lineRule="exact"/>
        <w:ind w:firstLine="683" w:firstLineChars="200"/>
        <w:jc w:val="both"/>
        <w:rPr>
          <w:rFonts w:ascii="仿宋_GB2312" w:eastAsia="仿宋_GB2312"/>
          <w:bCs w:val="0"/>
          <w:color w:val="000000" w:themeColor="text1"/>
          <w:sz w:val="32"/>
          <w:szCs w:val="32"/>
        </w:rPr>
      </w:pPr>
      <w:r>
        <w:rPr>
          <w:rFonts w:hint="eastAsia" w:ascii="楷体_GB2312" w:hAnsi="楷体_GB2312" w:eastAsia="楷体_GB2312"/>
          <w:b/>
          <w:color w:val="000000" w:themeColor="text1"/>
          <w:sz w:val="32"/>
          <w:szCs w:val="32"/>
        </w:rPr>
        <w:t>加强线上线下服务大厅融合协同。</w:t>
      </w:r>
      <w:r>
        <w:rPr>
          <w:rFonts w:hint="eastAsia" w:ascii="仿宋_GB2312" w:eastAsia="仿宋_GB2312"/>
          <w:bCs w:val="0"/>
          <w:color w:val="000000" w:themeColor="text1"/>
          <w:sz w:val="32"/>
          <w:szCs w:val="32"/>
        </w:rPr>
        <w:t>推动“一窗通办、一网通办、一站快办、全城可办”在政务服务中心全面推行，加快构建以网上政务大厅为主体、实体服务大厅为辅助，充分利用移动互联技术，拓展专业部门微信公众号服务功能的线上线下融合协同服务体系。促进行政服务中心效能提升、组织变革，优化基层便民服务职能，推动政务服务高频事项进“一刻钟社区服务圈”，探索建立与银行、企业和社会组织的业务、数据对接通道，推进政银企社联动的协同高效运转机制；建设政务服务智能终端、自助设备等，实现市民就近办理、身边办理，让群众办事“好找、好问、好办、好评”，让政务服务延伸到“家门口”。持续强化“</w:t>
      </w:r>
      <w:r>
        <w:rPr>
          <w:rFonts w:eastAsia="仿宋_GB2312"/>
          <w:bCs w:val="0"/>
          <w:color w:val="000000" w:themeColor="text1"/>
          <w:sz w:val="32"/>
          <w:szCs w:val="32"/>
        </w:rPr>
        <w:t>12345</w:t>
      </w:r>
      <w:r>
        <w:rPr>
          <w:rFonts w:hint="eastAsia" w:ascii="仿宋_GB2312" w:eastAsia="仿宋_GB2312"/>
          <w:bCs w:val="0"/>
          <w:color w:val="000000" w:themeColor="text1"/>
          <w:sz w:val="32"/>
          <w:szCs w:val="32"/>
        </w:rPr>
        <w:t>”热线支撑，完善综合受理系统与热线平台的对接程度，确保群众“一号响应”的桥梁管用。</w:t>
      </w:r>
    </w:p>
    <w:p>
      <w:pPr>
        <w:pStyle w:val="33"/>
        <w:spacing w:before="0" w:after="0" w:line="600" w:lineRule="exact"/>
        <w:ind w:firstLine="683" w:firstLineChars="200"/>
        <w:jc w:val="both"/>
        <w:rPr>
          <w:rFonts w:ascii="仿宋_GB2312" w:eastAsia="仿宋_GB2312"/>
          <w:bCs w:val="0"/>
          <w:color w:val="000000" w:themeColor="text1"/>
          <w:sz w:val="32"/>
          <w:szCs w:val="32"/>
        </w:rPr>
      </w:pPr>
      <w:r>
        <w:rPr>
          <w:rFonts w:hint="eastAsia" w:ascii="楷体_GB2312" w:hAnsi="楷体_GB2312" w:eastAsia="楷体_GB2312"/>
          <w:b/>
          <w:color w:val="000000" w:themeColor="text1"/>
          <w:sz w:val="32"/>
          <w:szCs w:val="32"/>
        </w:rPr>
        <w:t>持续深化“放管服”改革。</w:t>
      </w:r>
      <w:r>
        <w:rPr>
          <w:rFonts w:hint="eastAsia" w:ascii="仿宋_GB2312" w:eastAsia="仿宋_GB2312"/>
          <w:bCs w:val="0"/>
          <w:color w:val="000000" w:themeColor="text1"/>
          <w:sz w:val="32"/>
          <w:szCs w:val="32"/>
        </w:rPr>
        <w:t>以行政审批局为统领，全力推动数字政务更深更实开展，进一步提升政务服务效能，助力营商环境更优。积极借鉴“最多跑一次”“不见面审批”“一窗受理”等发展模式，进一步提升“证照分离”、电子印章等涉企改革覆盖面，加快推进政务服务便民利民“微改革”，减少办事环节与审批材料，提高办事效率，建设企业全生命周期“一件事”“企业开办专窗”线下服务平台等特色场景。促进政务服务标准化、规范化、便利化，建立完善政务服务标准化制度、集中办理制度、网上办理制度、告知承诺制度、容缺受理制度等，推动网上立案、网上庭审，实现全流程无纸化办案，不断提高政务服务水平和效能。</w:t>
      </w:r>
    </w:p>
    <w:p>
      <w:pPr>
        <w:spacing w:line="600" w:lineRule="exact"/>
        <w:ind w:firstLine="683" w:firstLineChars="200"/>
      </w:pPr>
      <w:bookmarkStart w:id="65" w:name="_Toc2957"/>
      <w:r>
        <w:rPr>
          <w:rFonts w:hint="eastAsia" w:ascii="楷体_GB2312" w:hAnsi="楷体_GB2312" w:eastAsia="楷体_GB2312"/>
          <w:b/>
          <w:bCs/>
          <w:color w:val="000000" w:themeColor="text1"/>
          <w:spacing w:val="10"/>
          <w:kern w:val="0"/>
          <w:sz w:val="32"/>
          <w:szCs w:val="32"/>
        </w:rPr>
        <w:t>强化经济运行监测</w:t>
      </w:r>
      <w:bookmarkEnd w:id="65"/>
      <w:r>
        <w:rPr>
          <w:rFonts w:hint="eastAsia" w:ascii="楷体_GB2312" w:hAnsi="楷体_GB2312" w:eastAsia="楷体_GB2312"/>
          <w:b/>
          <w:bCs/>
          <w:color w:val="000000" w:themeColor="text1"/>
          <w:spacing w:val="10"/>
          <w:kern w:val="0"/>
          <w:sz w:val="32"/>
          <w:szCs w:val="32"/>
        </w:rPr>
        <w:t>。</w:t>
      </w:r>
      <w:r>
        <w:rPr>
          <w:rFonts w:ascii="仿宋_GB2312" w:eastAsia="仿宋_GB2312"/>
          <w:color w:val="000000" w:themeColor="text1"/>
          <w:spacing w:val="10"/>
          <w:kern w:val="0"/>
          <w:sz w:val="32"/>
          <w:szCs w:val="32"/>
        </w:rPr>
        <w:t>围绕投资、消费、就业、税收、财政、金融、能源等经济运行重点领域，将与经济运行调控相关的，分散在各单位、各环节、各领域的基础数据进行分类采集、集成共享，动态归集相关业务数据，形成经济运行主题库。探索构建全市宏观经济、区域经济、行业经济等领域数字化分析系统，开展适合区域经济特点的指标体系、评价模型和算法模型研究。加强全市经济动态监测、趋势研判，对重点行业、重点企业的运行状况进行监测分析。充分挖掘各领域经济数据应用需求，探索建立各领域经济发展数字化应用。结合大数据、人工智能等先进技术，加强经济社会运行研判分析，为及时制定行之有效的经济措施提供决策依据。</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33"/>
              <w:spacing w:before="0" w:after="0" w:line="600" w:lineRule="exact"/>
              <w:jc w:val="center"/>
              <w:rPr>
                <w:b/>
                <w:color w:val="000000" w:themeColor="text1"/>
                <w:sz w:val="32"/>
                <w:szCs w:val="32"/>
              </w:rPr>
            </w:pPr>
            <w:r>
              <w:rPr>
                <w:rFonts w:hint="eastAsia" w:ascii="黑体" w:hAnsi="黑体" w:eastAsia="黑体"/>
                <w:color w:val="000000" w:themeColor="text1"/>
                <w:kern w:val="21"/>
                <w:sz w:val="30"/>
                <w:szCs w:val="30"/>
              </w:rPr>
              <w:t>专栏1</w:t>
            </w:r>
            <w:r>
              <w:rPr>
                <w:rFonts w:ascii="黑体" w:hAnsi="黑体" w:eastAsia="黑体"/>
                <w:color w:val="000000" w:themeColor="text1"/>
                <w:kern w:val="21"/>
                <w:sz w:val="30"/>
                <w:szCs w:val="30"/>
              </w:rPr>
              <w:t>2</w:t>
            </w:r>
            <w:r>
              <w:rPr>
                <w:rFonts w:hint="eastAsia" w:ascii="黑体" w:hAnsi="黑体" w:eastAsia="黑体"/>
                <w:color w:val="000000" w:themeColor="text1"/>
                <w:kern w:val="21"/>
                <w:sz w:val="30"/>
                <w:szCs w:val="30"/>
              </w:rPr>
              <w:t xml:space="preserve"> 构建数字政务服务体系重点工程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djustRightInd w:val="0"/>
              <w:snapToGrid w:val="0"/>
              <w:spacing w:line="520" w:lineRule="exact"/>
              <w:ind w:firstLine="602" w:firstLineChars="200"/>
              <w:rPr>
                <w:rFonts w:ascii="楷体_GB2312" w:hAnsi="楷体_GB2312" w:eastAsia="楷体_GB2312"/>
                <w:bCs/>
                <w:color w:val="000000" w:themeColor="text1"/>
                <w:kern w:val="21"/>
                <w:sz w:val="30"/>
                <w:szCs w:val="30"/>
              </w:rPr>
            </w:pPr>
            <w:r>
              <w:rPr>
                <w:rFonts w:hint="eastAsia" w:ascii="楷体_GB2312" w:hAnsi="楷体_GB2312" w:eastAsia="楷体_GB2312"/>
                <w:b/>
                <w:color w:val="000000" w:themeColor="text1"/>
                <w:kern w:val="21"/>
                <w:sz w:val="30"/>
                <w:szCs w:val="30"/>
              </w:rPr>
              <w:t>打造“一件事一次办”精品套餐服务：</w:t>
            </w:r>
            <w:r>
              <w:rPr>
                <w:rFonts w:hint="eastAsia" w:ascii="楷体_GB2312" w:hAnsi="楷体_GB2312" w:eastAsia="楷体_GB2312"/>
                <w:bCs/>
                <w:color w:val="000000" w:themeColor="text1"/>
                <w:kern w:val="21"/>
                <w:sz w:val="30"/>
                <w:szCs w:val="30"/>
              </w:rPr>
              <w:t>围绕“一机通办”目标，依托“广西政务服务”“爱广西”“爱玉林”</w:t>
            </w:r>
            <w:r>
              <w:rPr>
                <w:rFonts w:eastAsia="楷体_GB2312"/>
                <w:bCs/>
                <w:color w:val="000000" w:themeColor="text1"/>
                <w:kern w:val="21"/>
                <w:sz w:val="30"/>
                <w:szCs w:val="30"/>
              </w:rPr>
              <w:t>APP</w:t>
            </w:r>
            <w:r>
              <w:rPr>
                <w:rFonts w:hint="eastAsia" w:ascii="楷体_GB2312" w:hAnsi="楷体_GB2312" w:eastAsia="楷体_GB2312"/>
                <w:bCs/>
                <w:color w:val="000000" w:themeColor="text1"/>
                <w:kern w:val="21"/>
                <w:sz w:val="30"/>
                <w:szCs w:val="30"/>
              </w:rPr>
              <w:t>，持续梳理“一件事一次办”事项清单，拓宽“一件事”适用场景，推进办事情形再细化、业务流程再优化、表单材料再精简。加快推进政务服务向公共场所延伸，统筹推进综合自助机建设，推动更多事项全程自助办理。</w:t>
            </w:r>
          </w:p>
          <w:p>
            <w:pPr>
              <w:adjustRightInd w:val="0"/>
              <w:snapToGrid w:val="0"/>
              <w:spacing w:line="520" w:lineRule="exact"/>
              <w:ind w:firstLine="602" w:firstLineChars="200"/>
              <w:rPr>
                <w:rFonts w:ascii="楷体_GB2312" w:hAnsi="楷体_GB2312" w:eastAsia="楷体_GB2312"/>
                <w:bCs/>
                <w:color w:val="000000" w:themeColor="text1"/>
                <w:kern w:val="21"/>
                <w:sz w:val="30"/>
                <w:szCs w:val="30"/>
              </w:rPr>
            </w:pPr>
            <w:r>
              <w:rPr>
                <w:rFonts w:hint="eastAsia" w:ascii="楷体_GB2312" w:hAnsi="楷体_GB2312" w:eastAsia="楷体_GB2312"/>
                <w:b/>
                <w:color w:val="000000" w:themeColor="text1"/>
                <w:kern w:val="21"/>
                <w:sz w:val="30"/>
                <w:szCs w:val="30"/>
              </w:rPr>
              <w:t>构建“智桂通”移动生态体系：</w:t>
            </w:r>
            <w:r>
              <w:rPr>
                <w:rFonts w:hint="eastAsia" w:ascii="楷体_GB2312" w:hAnsi="楷体_GB2312" w:eastAsia="楷体_GB2312"/>
                <w:bCs/>
                <w:color w:val="000000" w:themeColor="text1"/>
                <w:kern w:val="21"/>
                <w:sz w:val="30"/>
                <w:szCs w:val="30"/>
              </w:rPr>
              <w:t>依托已有数字政府基础设施的支撑能力，积极整合全市各领域各行业的服务应用，基于“智桂通”平台，建设完善一系列具有玉林特色的“智桂通”品牌一同终端应用，加强自主运营能力和效能。</w:t>
            </w:r>
          </w:p>
          <w:p>
            <w:pPr>
              <w:adjustRightInd w:val="0"/>
              <w:snapToGrid w:val="0"/>
              <w:spacing w:line="520" w:lineRule="exact"/>
              <w:ind w:firstLine="602" w:firstLineChars="200"/>
              <w:rPr>
                <w:rFonts w:ascii="楷体_GB2312" w:hAnsi="楷体_GB2312" w:eastAsia="楷体_GB2312"/>
                <w:bCs/>
                <w:color w:val="000000" w:themeColor="text1"/>
                <w:kern w:val="21"/>
                <w:sz w:val="30"/>
                <w:szCs w:val="30"/>
              </w:rPr>
            </w:pPr>
            <w:r>
              <w:rPr>
                <w:rFonts w:hint="eastAsia" w:ascii="楷体_GB2312" w:hAnsi="楷体_GB2312" w:eastAsia="楷体_GB2312"/>
                <w:b/>
                <w:color w:val="000000" w:themeColor="text1"/>
                <w:kern w:val="21"/>
                <w:sz w:val="30"/>
                <w:szCs w:val="30"/>
              </w:rPr>
              <w:t>建设“一刻钟社区服务圈”：</w:t>
            </w:r>
            <w:r>
              <w:rPr>
                <w:rFonts w:hint="eastAsia" w:ascii="楷体_GB2312" w:hAnsi="楷体_GB2312" w:eastAsia="楷体_GB2312"/>
                <w:bCs/>
                <w:color w:val="000000" w:themeColor="text1"/>
                <w:kern w:val="21"/>
                <w:sz w:val="30"/>
                <w:szCs w:val="30"/>
              </w:rPr>
              <w:t>与各大金融机构开展“政银合作”，充分依托银行服务网络优势，推动高频政务服务事项入驻银行智能服务终端。打造</w:t>
            </w:r>
            <w:r>
              <w:rPr>
                <w:rFonts w:eastAsia="楷体_GB2312"/>
                <w:bCs/>
                <w:color w:val="000000" w:themeColor="text1"/>
                <w:kern w:val="21"/>
                <w:sz w:val="30"/>
                <w:szCs w:val="30"/>
              </w:rPr>
              <w:t>24</w:t>
            </w:r>
            <w:r>
              <w:rPr>
                <w:rFonts w:hint="eastAsia" w:ascii="楷体_GB2312" w:hAnsi="楷体_GB2312" w:eastAsia="楷体_GB2312"/>
                <w:bCs/>
                <w:color w:val="000000" w:themeColor="text1"/>
                <w:kern w:val="21"/>
                <w:sz w:val="30"/>
                <w:szCs w:val="30"/>
              </w:rPr>
              <w:t>小时不打烊的“政府服务小屋”，提供完备的政务服务基础设施和互信可靠的“面对面”服务。探索推进政务服务与水、电、气服务网点以及互联网平台等社会渠道融合，打造泛在融合的服务渠道。</w:t>
            </w:r>
          </w:p>
          <w:p>
            <w:pPr>
              <w:adjustRightInd w:val="0"/>
              <w:snapToGrid w:val="0"/>
              <w:spacing w:line="520" w:lineRule="exact"/>
              <w:ind w:firstLine="602" w:firstLineChars="200"/>
              <w:rPr>
                <w:rFonts w:eastAsia="方正仿宋_GBK"/>
                <w:bCs/>
                <w:color w:val="000000" w:themeColor="text1"/>
                <w:kern w:val="0"/>
                <w:sz w:val="32"/>
                <w:szCs w:val="32"/>
              </w:rPr>
            </w:pPr>
            <w:r>
              <w:rPr>
                <w:rFonts w:hint="eastAsia" w:ascii="楷体_GB2312" w:hAnsi="楷体_GB2312" w:eastAsia="楷体_GB2312"/>
                <w:b/>
                <w:color w:val="000000" w:themeColor="text1"/>
                <w:kern w:val="21"/>
                <w:sz w:val="30"/>
                <w:szCs w:val="30"/>
              </w:rPr>
              <w:t>推进玉林数智金融协同应用：</w:t>
            </w:r>
            <w:r>
              <w:rPr>
                <w:rFonts w:hint="eastAsia" w:ascii="楷体_GB2312" w:hAnsi="楷体_GB2312" w:eastAsia="楷体_GB2312"/>
                <w:bCs/>
                <w:color w:val="000000" w:themeColor="text1"/>
                <w:kern w:val="21"/>
                <w:sz w:val="30"/>
                <w:szCs w:val="30"/>
              </w:rPr>
              <w:t>基于玉林市智慧金融服务平台，运用大数据、人工智能、云计算等数字技术，整合其他金融类服务应用，全面提升综合金融服务功能，打造一体化的数智金融协同应用，构建数智化的区域金融服务、运行、管理体系，同时为党政领导及有关部门决策提供大数据支撑。</w:t>
            </w:r>
          </w:p>
        </w:tc>
      </w:tr>
    </w:tbl>
    <w:p>
      <w:pPr>
        <w:pStyle w:val="6"/>
        <w:spacing w:before="0" w:after="0" w:line="600" w:lineRule="exact"/>
        <w:ind w:firstLine="643" w:firstLineChars="200"/>
        <w:rPr>
          <w:rFonts w:eastAsia="楷体_GB2312"/>
          <w:color w:val="000000" w:themeColor="text1"/>
        </w:rPr>
      </w:pPr>
      <w:bookmarkStart w:id="66" w:name="_Toc93410005"/>
      <w:r>
        <w:rPr>
          <w:rFonts w:hint="eastAsia" w:eastAsia="楷体_GB2312"/>
          <w:color w:val="000000" w:themeColor="text1"/>
        </w:rPr>
        <w:t>3</w:t>
      </w:r>
      <w:r>
        <w:rPr>
          <w:rFonts w:eastAsia="楷体_GB2312"/>
          <w:color w:val="000000" w:themeColor="text1"/>
        </w:rPr>
        <w:t>.</w:t>
      </w:r>
      <w:r>
        <w:rPr>
          <w:rFonts w:hint="eastAsia" w:eastAsia="楷体_GB2312"/>
          <w:color w:val="000000" w:themeColor="text1"/>
        </w:rPr>
        <w:t>提高政府数字监管水平</w:t>
      </w:r>
      <w:bookmarkEnd w:id="66"/>
    </w:p>
    <w:p>
      <w:pPr>
        <w:pStyle w:val="33"/>
        <w:spacing w:before="0" w:after="0" w:line="600" w:lineRule="exact"/>
        <w:ind w:firstLine="683" w:firstLineChars="200"/>
        <w:jc w:val="both"/>
        <w:rPr>
          <w:rFonts w:ascii="仿宋_GB2312" w:eastAsia="仿宋_GB2312"/>
          <w:bCs w:val="0"/>
          <w:color w:val="000000" w:themeColor="text1"/>
          <w:sz w:val="32"/>
          <w:szCs w:val="32"/>
        </w:rPr>
      </w:pPr>
      <w:r>
        <w:rPr>
          <w:rFonts w:hint="eastAsia" w:ascii="楷体_GB2312" w:hAnsi="楷体_GB2312" w:eastAsia="楷体_GB2312"/>
          <w:b/>
          <w:color w:val="000000" w:themeColor="text1"/>
          <w:sz w:val="32"/>
          <w:szCs w:val="32"/>
        </w:rPr>
        <w:t>完善“双随机、一公开”监管。</w:t>
      </w:r>
      <w:r>
        <w:rPr>
          <w:rFonts w:hint="eastAsia" w:ascii="仿宋_GB2312" w:eastAsia="仿宋_GB2312"/>
          <w:bCs w:val="0"/>
          <w:color w:val="000000" w:themeColor="text1"/>
          <w:sz w:val="32"/>
          <w:szCs w:val="32"/>
        </w:rPr>
        <w:t>构建政府监管、企业自治、行业自律、市场监督“四位一体”的新型协同治理机制，加快“一网通管”系统打通，提升“双随机、一公开”监管能力。探索智能监管、非现场监管新模式，完善跨部门、跨区域监管联动响应和协作机制，加强市场监管信息共享，强化行业主管部门与综合监管部门间的协同联动，实现监管标准互通、违法线索互联、处理结果互认。加快推进“效能评估”体系建设，形成“大督查”格局。</w:t>
      </w:r>
    </w:p>
    <w:p>
      <w:pPr>
        <w:pStyle w:val="33"/>
        <w:spacing w:before="0" w:after="0" w:line="600" w:lineRule="exact"/>
        <w:ind w:firstLine="683" w:firstLineChars="200"/>
        <w:jc w:val="both"/>
        <w:rPr>
          <w:color w:val="000000" w:themeColor="text1"/>
        </w:rPr>
      </w:pPr>
      <w:r>
        <w:rPr>
          <w:rFonts w:hint="eastAsia" w:ascii="楷体_GB2312" w:hAnsi="楷体_GB2312" w:eastAsia="楷体_GB2312"/>
          <w:b/>
          <w:color w:val="000000" w:themeColor="text1"/>
          <w:sz w:val="32"/>
          <w:szCs w:val="32"/>
        </w:rPr>
        <w:t>深化“互联网+监管”改革。</w:t>
      </w:r>
      <w:r>
        <w:rPr>
          <w:rFonts w:hint="eastAsia" w:ascii="仿宋_GB2312" w:eastAsia="仿宋_GB2312"/>
          <w:bCs w:val="0"/>
          <w:color w:val="000000" w:themeColor="text1"/>
          <w:sz w:val="32"/>
          <w:szCs w:val="32"/>
        </w:rPr>
        <w:t>依托自治区“互联网+监管”系统，加强各领域监管数据归集、治理、分析、应用，推进各地区、各部门、各领域监管数据互联互通，协同构建规范统一、协同联动的“互联网+监管”体系。加强信用信息管理系统及数据资源建设，推进公共信用信息归集、共享、应用、评价、监管闭环体系建设。依法利用个人和企业“画像”，探索“信用+大数据”精准监管，探索开展公共信用综合评价，支撑行业部门开展信用分级分类监管。加强监管数据的融合应用，建立行业风险监测预警模型与数据监管反馈机制。加强对公共安全和人民群众生命健康等特殊重点领域监管的数字赋能，积极推进国家（广西）药品“智慧监管”、智慧化全媒体监管、广西行政执法“智慧监管”等项目建设。加强政府网站域名、网站和政务新媒体内容监管。</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33"/>
              <w:spacing w:before="0" w:after="0" w:line="600" w:lineRule="exact"/>
              <w:jc w:val="center"/>
              <w:rPr>
                <w:b/>
                <w:color w:val="000000" w:themeColor="text1"/>
                <w:sz w:val="32"/>
                <w:szCs w:val="32"/>
              </w:rPr>
            </w:pPr>
            <w:r>
              <w:rPr>
                <w:rFonts w:hint="eastAsia" w:ascii="黑体" w:hAnsi="黑体" w:eastAsia="黑体"/>
                <w:color w:val="000000" w:themeColor="text1"/>
                <w:kern w:val="21"/>
                <w:sz w:val="30"/>
                <w:szCs w:val="30"/>
              </w:rPr>
              <w:t>专栏1</w:t>
            </w:r>
            <w:r>
              <w:rPr>
                <w:rFonts w:ascii="黑体" w:hAnsi="黑体" w:eastAsia="黑体"/>
                <w:color w:val="000000" w:themeColor="text1"/>
                <w:kern w:val="21"/>
                <w:sz w:val="30"/>
                <w:szCs w:val="30"/>
              </w:rPr>
              <w:t>3</w:t>
            </w:r>
            <w:r>
              <w:rPr>
                <w:rFonts w:hint="eastAsia" w:ascii="黑体" w:hAnsi="黑体" w:eastAsia="黑体"/>
                <w:color w:val="000000" w:themeColor="text1"/>
                <w:kern w:val="21"/>
                <w:sz w:val="30"/>
                <w:szCs w:val="30"/>
              </w:rPr>
              <w:t xml:space="preserve"> 提升政府数字监管水平重点工程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djustRightInd w:val="0"/>
              <w:snapToGrid w:val="0"/>
              <w:spacing w:line="520" w:lineRule="exact"/>
              <w:ind w:firstLine="602" w:firstLineChars="200"/>
              <w:rPr>
                <w:rFonts w:ascii="楷体_GB2312" w:hAnsi="楷体_GB2312" w:eastAsia="楷体_GB2312"/>
                <w:bCs/>
                <w:color w:val="000000" w:themeColor="text1"/>
                <w:kern w:val="21"/>
                <w:sz w:val="30"/>
                <w:szCs w:val="30"/>
              </w:rPr>
            </w:pPr>
            <w:r>
              <w:rPr>
                <w:rFonts w:hint="eastAsia" w:ascii="楷体_GB2312" w:hAnsi="楷体_GB2312" w:eastAsia="楷体_GB2312"/>
                <w:b/>
                <w:color w:val="000000" w:themeColor="text1"/>
                <w:kern w:val="21"/>
                <w:sz w:val="30"/>
                <w:szCs w:val="30"/>
              </w:rPr>
              <w:t>打造自治区市级“互联网+市场监管”试点：</w:t>
            </w:r>
            <w:r>
              <w:rPr>
                <w:rFonts w:hint="eastAsia" w:ascii="楷体_GB2312" w:hAnsi="楷体_GB2312" w:eastAsia="楷体_GB2312"/>
                <w:bCs/>
                <w:color w:val="000000" w:themeColor="text1"/>
                <w:kern w:val="21"/>
                <w:sz w:val="30"/>
                <w:szCs w:val="30"/>
              </w:rPr>
              <w:t>运用“互联网+”、人工智能、区块链等技术手段，联通各级各部门监管业务系统，加强对风险的跟踪预警，形成统筹、规范、便捷、高效的常态化督查新格局；持续汇聚监管事项清单信息、监管对象信息、执法人员信息、监管行为信息、监管动态信息和曝光台信息；全面开展农户、农村企业、农村经济组织等涉农主体信用信息采集工作，有效整合县域信用资源，推动税务、社保、市场监管等部门信用信息归集共享，打造“互联网+监管”市级试点示范。</w:t>
            </w:r>
          </w:p>
          <w:p>
            <w:pPr>
              <w:adjustRightInd w:val="0"/>
              <w:snapToGrid w:val="0"/>
              <w:spacing w:line="520" w:lineRule="exact"/>
              <w:ind w:firstLine="602" w:firstLineChars="200"/>
              <w:rPr>
                <w:rFonts w:ascii="楷体_GB2312" w:hAnsi="楷体_GB2312" w:eastAsia="楷体_GB2312"/>
                <w:bCs/>
                <w:color w:val="000000" w:themeColor="text1"/>
                <w:kern w:val="21"/>
                <w:sz w:val="30"/>
                <w:szCs w:val="30"/>
              </w:rPr>
            </w:pPr>
            <w:r>
              <w:rPr>
                <w:rFonts w:hint="eastAsia" w:ascii="楷体_GB2312" w:hAnsi="楷体_GB2312" w:eastAsia="楷体_GB2312"/>
                <w:b/>
                <w:color w:val="000000" w:themeColor="text1"/>
                <w:kern w:val="21"/>
                <w:sz w:val="30"/>
                <w:szCs w:val="30"/>
              </w:rPr>
              <w:t>建设玉林市智慧监管平台：</w:t>
            </w:r>
            <w:r>
              <w:rPr>
                <w:rFonts w:hint="eastAsia" w:ascii="楷体_GB2312" w:hAnsi="楷体_GB2312" w:eastAsia="楷体_GB2312"/>
                <w:bCs/>
                <w:color w:val="000000" w:themeColor="text1"/>
                <w:kern w:val="21"/>
                <w:sz w:val="30"/>
                <w:szCs w:val="30"/>
              </w:rPr>
              <w:t>平台将以大数据、云计算、人脸识别、</w:t>
            </w:r>
            <w:r>
              <w:rPr>
                <w:rFonts w:eastAsia="楷体_GB2312"/>
                <w:bCs/>
                <w:color w:val="000000" w:themeColor="text1"/>
                <w:kern w:val="21"/>
                <w:sz w:val="30"/>
                <w:szCs w:val="30"/>
              </w:rPr>
              <w:t>AI</w:t>
            </w:r>
            <w:r>
              <w:rPr>
                <w:rFonts w:hint="eastAsia" w:ascii="楷体_GB2312" w:hAnsi="楷体_GB2312" w:eastAsia="楷体_GB2312"/>
                <w:bCs/>
                <w:color w:val="000000" w:themeColor="text1"/>
                <w:kern w:val="21"/>
                <w:sz w:val="30"/>
                <w:szCs w:val="30"/>
              </w:rPr>
              <w:t>智能分析、物联智能感知、视频直播等先进技术为支撑，以数据共享、数据应用、数据决策进行业务流程再造为突破口，以监管体系和监管能力现代化为目标，建立政府监管、企业自治、行业自律、市场监督“四位一体”新型监管模式。采用“平台+应用”的模式，完善政企数据流通机制，实现市场主体基本信息、投诉举报、执法监管、行政诉讼、失信联合惩戒等信息“应归尽归”。</w:t>
            </w:r>
          </w:p>
          <w:p>
            <w:pPr>
              <w:adjustRightInd w:val="0"/>
              <w:snapToGrid w:val="0"/>
              <w:spacing w:line="520" w:lineRule="exact"/>
              <w:ind w:firstLine="602" w:firstLineChars="200"/>
              <w:rPr>
                <w:rFonts w:eastAsia="方正仿宋_GBK"/>
                <w:bCs/>
                <w:color w:val="000000" w:themeColor="text1"/>
                <w:kern w:val="21"/>
                <w:sz w:val="28"/>
                <w:szCs w:val="28"/>
              </w:rPr>
            </w:pPr>
            <w:r>
              <w:rPr>
                <w:rFonts w:hint="eastAsia" w:ascii="楷体_GB2312" w:hAnsi="楷体_GB2312" w:eastAsia="楷体_GB2312"/>
                <w:b/>
                <w:color w:val="000000" w:themeColor="text1"/>
                <w:kern w:val="21"/>
                <w:sz w:val="30"/>
                <w:szCs w:val="30"/>
              </w:rPr>
              <w:t>建设重要产品溯源体系：</w:t>
            </w:r>
            <w:r>
              <w:rPr>
                <w:rFonts w:hint="eastAsia" w:ascii="楷体_GB2312" w:hAnsi="楷体_GB2312" w:eastAsia="楷体_GB2312"/>
                <w:bCs/>
                <w:color w:val="000000" w:themeColor="text1"/>
                <w:kern w:val="21"/>
                <w:sz w:val="30"/>
                <w:szCs w:val="30"/>
              </w:rPr>
              <w:t>制定重要产品追溯标准和规范，引导企业加强信息化建设和物联网技术应用，提升企业信息追溯能力。加强玉林中药材等重要产品生产、流通、消费等各环节全周期、全链条监管。加强各主管部门在重要产品监管领域的业务协同和信息共享，推进监管全流程信息化覆盖和监管追溯信息采集，逐步实现对各类重要产品在生产加工、市场流通、消费使用等环节全过程的质量监管、检验检测、预警分析、联合执法、全程追溯。</w:t>
            </w:r>
          </w:p>
        </w:tc>
      </w:tr>
    </w:tbl>
    <w:p>
      <w:pPr>
        <w:pStyle w:val="5"/>
        <w:keepNext w:val="0"/>
        <w:keepLines w:val="0"/>
        <w:adjustRightInd w:val="0"/>
        <w:snapToGrid w:val="0"/>
        <w:spacing w:before="0" w:after="0" w:line="600" w:lineRule="exact"/>
        <w:ind w:firstLine="640"/>
        <w:jc w:val="both"/>
        <w:rPr>
          <w:rFonts w:ascii="Times New Roman" w:hAnsi="Times New Roman" w:eastAsia="方正楷体_GBK" w:cs="方正楷体_GBK"/>
          <w:bCs w:val="0"/>
          <w:color w:val="000000" w:themeColor="text1"/>
          <w:kern w:val="21"/>
        </w:rPr>
      </w:pPr>
      <w:bookmarkStart w:id="67" w:name="_Toc93410006"/>
      <w:r>
        <w:rPr>
          <w:rFonts w:hint="eastAsia" w:ascii="Times New Roman" w:hAnsi="Times New Roman" w:eastAsia="方正楷体_GBK" w:cs="方正楷体_GBK"/>
          <w:bCs w:val="0"/>
          <w:color w:val="000000" w:themeColor="text1"/>
          <w:kern w:val="21"/>
        </w:rPr>
        <w:t>（五）奋力共建共治共享，增强数字社会治理</w:t>
      </w:r>
      <w:bookmarkEnd w:id="67"/>
    </w:p>
    <w:p>
      <w:pPr>
        <w:spacing w:line="600" w:lineRule="exact"/>
        <w:ind w:firstLine="640" w:firstLineChars="200"/>
        <w:rPr>
          <w:rFonts w:ascii="仿宋_GB2312" w:hAnsi="仿宋" w:eastAsia="仿宋_GB2312"/>
          <w:color w:val="000000" w:themeColor="text1"/>
          <w:kern w:val="0"/>
          <w:sz w:val="32"/>
          <w:szCs w:val="32"/>
        </w:rPr>
      </w:pPr>
      <w:r>
        <w:rPr>
          <w:rFonts w:hint="eastAsia" w:ascii="仿宋_GB2312" w:hAnsi="仿宋" w:eastAsia="仿宋_GB2312"/>
          <w:color w:val="000000" w:themeColor="text1"/>
          <w:kern w:val="0"/>
          <w:sz w:val="32"/>
          <w:szCs w:val="32"/>
        </w:rPr>
        <w:t>围绕强生态优环境，强法制促和谐，以智能化为突破口，以“城市大脑”为依托，以“一网统管”为目标，聚焦生态环保、应急管理、平安玉林、市场监管等领域，用数据赋能市域治理现代化。</w:t>
      </w:r>
    </w:p>
    <w:p>
      <w:pPr>
        <w:pStyle w:val="6"/>
        <w:spacing w:before="0" w:after="0" w:line="600" w:lineRule="exact"/>
        <w:ind w:firstLine="643" w:firstLineChars="200"/>
        <w:rPr>
          <w:rFonts w:eastAsia="楷体_GB2312"/>
          <w:color w:val="000000" w:themeColor="text1"/>
        </w:rPr>
      </w:pPr>
      <w:bookmarkStart w:id="68" w:name="_Toc93410007"/>
      <w:r>
        <w:rPr>
          <w:rFonts w:hint="eastAsia" w:eastAsia="楷体_GB2312"/>
          <w:color w:val="000000" w:themeColor="text1"/>
        </w:rPr>
        <w:t>1</w:t>
      </w:r>
      <w:r>
        <w:rPr>
          <w:rFonts w:eastAsia="楷体_GB2312"/>
          <w:color w:val="000000" w:themeColor="text1"/>
        </w:rPr>
        <w:t>.</w:t>
      </w:r>
      <w:r>
        <w:rPr>
          <w:rFonts w:hint="eastAsia" w:eastAsia="楷体_GB2312"/>
          <w:color w:val="000000" w:themeColor="text1"/>
        </w:rPr>
        <w:t>推动生态文明新发展</w:t>
      </w:r>
      <w:bookmarkEnd w:id="68"/>
    </w:p>
    <w:p>
      <w:pPr>
        <w:spacing w:line="600" w:lineRule="exact"/>
        <w:ind w:firstLine="643" w:firstLineChars="200"/>
        <w:rPr>
          <w:rFonts w:ascii="仿宋_GB2312" w:hAnsi="仿宋" w:eastAsia="仿宋_GB2312"/>
          <w:color w:val="000000" w:themeColor="text1"/>
          <w:kern w:val="0"/>
          <w:sz w:val="32"/>
          <w:szCs w:val="32"/>
        </w:rPr>
      </w:pPr>
      <w:r>
        <w:rPr>
          <w:rFonts w:hint="eastAsia" w:ascii="楷体_GB2312" w:hAnsi="楷体_GB2312" w:eastAsia="楷体_GB2312"/>
          <w:b/>
          <w:bCs/>
          <w:color w:val="000000" w:themeColor="text1"/>
          <w:kern w:val="0"/>
          <w:sz w:val="32"/>
          <w:szCs w:val="32"/>
        </w:rPr>
        <w:t>建立生态环境全局感知体系。</w:t>
      </w:r>
      <w:r>
        <w:rPr>
          <w:rFonts w:hint="eastAsia" w:ascii="仿宋_GB2312" w:hAnsi="仿宋" w:eastAsia="仿宋_GB2312"/>
          <w:color w:val="000000" w:themeColor="text1"/>
          <w:kern w:val="0"/>
          <w:sz w:val="32"/>
          <w:szCs w:val="32"/>
        </w:rPr>
        <w:t>对接广西自然资源信息化综合体系建设，加快玉林基础地理信息和地理信息公共服务平台建设，为城市发展和信息化建设提供统一的时空信息共享能力。对接广西林业北斗应用体系建设，建立玉林林业信息化管理体系，实施网格化管理，强化各类自然保护地监管，以信息化手段提升对森林火灾、动植物保护、有害生物防治等监测预警和应急处理能力。利用物联网、“高分+北斗”等技术手段，助力玉林绿色矿山建设，推进矿产资源保护和节约集约利用，促进矿业绿色发展。统筹推进智慧水利建设，完善水利信息化基础设施，加快拓展水利感知网覆盖范围，全面推进水工程防灾联合调度、节约用水及水资源管理、水利工程建设管理、河湖长制管理等业务信息化建设，提升水利监管和公共服务能力。</w:t>
      </w:r>
    </w:p>
    <w:p>
      <w:pPr>
        <w:spacing w:line="600" w:lineRule="exact"/>
        <w:ind w:firstLine="643" w:firstLineChars="200"/>
        <w:rPr>
          <w:rFonts w:ascii="仿宋_GB2312" w:hAnsi="仿宋" w:eastAsia="仿宋_GB2312"/>
          <w:color w:val="000000" w:themeColor="text1"/>
          <w:kern w:val="0"/>
          <w:sz w:val="32"/>
          <w:szCs w:val="32"/>
        </w:rPr>
      </w:pPr>
      <w:r>
        <w:rPr>
          <w:rFonts w:hint="eastAsia" w:ascii="楷体_GB2312" w:hAnsi="楷体_GB2312" w:eastAsia="楷体_GB2312"/>
          <w:b/>
          <w:bCs/>
          <w:color w:val="000000" w:themeColor="text1"/>
          <w:kern w:val="0"/>
          <w:sz w:val="32"/>
          <w:szCs w:val="32"/>
        </w:rPr>
        <w:t>构建生态环境智慧治理平台。</w:t>
      </w:r>
      <w:r>
        <w:rPr>
          <w:rFonts w:hint="eastAsia" w:ascii="仿宋_GB2312" w:hAnsi="仿宋" w:eastAsia="仿宋_GB2312"/>
          <w:color w:val="000000" w:themeColor="text1"/>
          <w:kern w:val="0"/>
          <w:sz w:val="32"/>
          <w:szCs w:val="32"/>
        </w:rPr>
        <w:t>建设玉林智慧生态环境平台，向上对接广西生态环境大数据平台，横向对接玉林“城市大脑”，推进各类数据系统的互联互通，实现环保业务协同化、环境预警数字化、环境监管精细化、环境指挥决策科学化。加强玉林生态环境数据资源规划，形成“全市统一、动态更新、共享校核”的信息资源目录。统筹玉林生态环境数据采集，建立健全涵盖大气、水、土壤、噪声、辐射、生态等要素，布局合理、功能完善的生态环境监测网络，实现“一次采集、共享应用”。积极探索“大数据+环保”，加快建成玉林生态环境大数据中心，激活数据在环境监测和环境管理方面的决策效能，以“数治”优化环境污染成因分析、溯源分析，实现预防为先与动态治理的紧密结合。围绕“蓝天”“碧水”“净土”实时监测关键指标，呈现区域整体环境质量，实现生态环境态势、精细化管理过程的可视化感知。</w:t>
      </w:r>
    </w:p>
    <w:p>
      <w:pPr>
        <w:pStyle w:val="6"/>
        <w:spacing w:before="0" w:after="0" w:line="600" w:lineRule="exact"/>
        <w:ind w:firstLine="643" w:firstLineChars="200"/>
        <w:rPr>
          <w:rFonts w:eastAsia="楷体_GB2312"/>
          <w:color w:val="000000" w:themeColor="text1"/>
        </w:rPr>
      </w:pPr>
      <w:bookmarkStart w:id="69" w:name="_Toc93410008"/>
      <w:r>
        <w:rPr>
          <w:rFonts w:eastAsia="楷体_GB2312"/>
          <w:color w:val="000000" w:themeColor="text1"/>
        </w:rPr>
        <w:t>2.</w:t>
      </w:r>
      <w:r>
        <w:rPr>
          <w:rFonts w:hint="eastAsia" w:eastAsia="楷体_GB2312"/>
          <w:color w:val="000000" w:themeColor="text1"/>
        </w:rPr>
        <w:t>加快绿色低碳转型</w:t>
      </w:r>
      <w:bookmarkEnd w:id="69"/>
    </w:p>
    <w:p>
      <w:pPr>
        <w:spacing w:line="600" w:lineRule="exact"/>
        <w:ind w:firstLine="643" w:firstLineChars="200"/>
        <w:rPr>
          <w:rFonts w:ascii="仿宋_GB2312" w:hAnsi="仿宋" w:eastAsia="仿宋_GB2312"/>
          <w:color w:val="000000" w:themeColor="text1"/>
          <w:kern w:val="0"/>
          <w:sz w:val="32"/>
          <w:szCs w:val="32"/>
        </w:rPr>
      </w:pPr>
      <w:r>
        <w:rPr>
          <w:rFonts w:hint="eastAsia" w:ascii="楷体_GB2312" w:hAnsi="楷体_GB2312" w:eastAsia="楷体_GB2312"/>
          <w:b/>
          <w:bCs/>
          <w:color w:val="000000" w:themeColor="text1"/>
          <w:kern w:val="0"/>
          <w:sz w:val="32"/>
          <w:szCs w:val="32"/>
        </w:rPr>
        <w:t>推进“碳达峰”和“碳中和”。</w:t>
      </w:r>
      <w:r>
        <w:rPr>
          <w:rFonts w:hint="eastAsia" w:ascii="仿宋_GB2312" w:hAnsi="仿宋" w:eastAsia="仿宋_GB2312"/>
          <w:color w:val="000000" w:themeColor="text1"/>
          <w:kern w:val="0"/>
          <w:sz w:val="32"/>
          <w:szCs w:val="32"/>
        </w:rPr>
        <w:t>运用数字化手段开展传统高耗能行业、公共场所、楼宇经济等企业碳排放、用户碳足迹的智能监测，“用数据说话”准确识别高能耗、低能效单位，充分挖掘分析影响碳减排的关键性因素。推广普及智能终端控制系统，减少能源浪费，积极开展可替代资源、减碳等综合分析，加快去碳化。推进绿色数据中心建设，积极引导数字时代生产和生活方式绿色变革，助推清洁低碳安全高效的能源体系建设。</w:t>
      </w:r>
    </w:p>
    <w:p>
      <w:pPr>
        <w:spacing w:line="600" w:lineRule="exact"/>
        <w:ind w:firstLine="643" w:firstLineChars="200"/>
        <w:rPr>
          <w:rFonts w:ascii="仿宋_GB2312" w:hAnsi="仿宋" w:eastAsia="仿宋_GB2312"/>
          <w:color w:val="000000" w:themeColor="text1"/>
          <w:kern w:val="0"/>
          <w:sz w:val="32"/>
          <w:szCs w:val="32"/>
        </w:rPr>
      </w:pPr>
      <w:r>
        <w:rPr>
          <w:rFonts w:hint="eastAsia" w:ascii="楷体_GB2312" w:hAnsi="楷体_GB2312" w:eastAsia="楷体_GB2312"/>
          <w:b/>
          <w:bCs/>
          <w:color w:val="000000" w:themeColor="text1"/>
          <w:kern w:val="0"/>
          <w:sz w:val="32"/>
          <w:szCs w:val="32"/>
        </w:rPr>
        <w:t>加快构建绿色低碳技术体系和绿色制造支撑体系。</w:t>
      </w:r>
      <w:r>
        <w:rPr>
          <w:rFonts w:hint="eastAsia" w:ascii="仿宋_GB2312" w:hAnsi="仿宋" w:eastAsia="仿宋_GB2312"/>
          <w:color w:val="000000" w:themeColor="text1"/>
          <w:kern w:val="0"/>
          <w:sz w:val="32"/>
          <w:szCs w:val="32"/>
        </w:rPr>
        <w:t>利用好新能源和技术创新，运用大数据分析等辅助管理手段，辅助企业进行能源采购贮存、分配转化、使用放散等各环节的综合监测、调度和平衡优化，帮助企业提高能源利用效率，强化科技创新对工业绿色低碳转型的支撑作用。</w:t>
      </w:r>
    </w:p>
    <w:p>
      <w:pPr>
        <w:spacing w:line="600" w:lineRule="exact"/>
        <w:ind w:firstLine="643" w:firstLineChars="200"/>
        <w:rPr>
          <w:color w:val="000000" w:themeColor="text1"/>
        </w:rPr>
      </w:pPr>
      <w:r>
        <w:rPr>
          <w:rFonts w:hint="eastAsia" w:ascii="楷体_GB2312" w:hAnsi="楷体_GB2312" w:eastAsia="楷体_GB2312"/>
          <w:b/>
          <w:bCs/>
          <w:color w:val="000000" w:themeColor="text1"/>
          <w:kern w:val="0"/>
          <w:sz w:val="32"/>
          <w:szCs w:val="32"/>
        </w:rPr>
        <w:t>加速生产方式数字化转型。</w:t>
      </w:r>
      <w:r>
        <w:rPr>
          <w:rFonts w:hint="eastAsia" w:ascii="仿宋_GB2312" w:hAnsi="仿宋" w:eastAsia="仿宋_GB2312"/>
          <w:color w:val="000000" w:themeColor="text1"/>
          <w:kern w:val="0"/>
          <w:sz w:val="32"/>
          <w:szCs w:val="32"/>
        </w:rPr>
        <w:t>以数字化转型驱动生产方式变革，推进大数据分析、机器学习、区块链、分布式能源管理及云计算等数字技术在能源生产、输送、交易、消费及监管等各个环节中的应用，赋能绿色制造。</w:t>
      </w:r>
    </w:p>
    <w:p>
      <w:pPr>
        <w:pStyle w:val="6"/>
        <w:spacing w:before="0" w:after="0" w:line="600" w:lineRule="exact"/>
        <w:ind w:firstLine="643" w:firstLineChars="200"/>
        <w:rPr>
          <w:rFonts w:eastAsia="楷体_GB2312"/>
          <w:color w:val="000000" w:themeColor="text1"/>
        </w:rPr>
      </w:pPr>
      <w:bookmarkStart w:id="70" w:name="_Toc93410009"/>
      <w:r>
        <w:rPr>
          <w:rFonts w:eastAsia="楷体_GB2312"/>
          <w:color w:val="000000" w:themeColor="text1"/>
        </w:rPr>
        <w:t>3.</w:t>
      </w:r>
      <w:r>
        <w:rPr>
          <w:rFonts w:hint="eastAsia" w:eastAsia="楷体_GB2312"/>
          <w:color w:val="000000" w:themeColor="text1"/>
        </w:rPr>
        <w:t>构建应急救援新格局</w:t>
      </w:r>
      <w:bookmarkEnd w:id="70"/>
    </w:p>
    <w:p>
      <w:pPr>
        <w:spacing w:line="600" w:lineRule="exact"/>
        <w:ind w:firstLine="643" w:firstLineChars="200"/>
        <w:rPr>
          <w:rFonts w:ascii="仿宋_GB2312" w:hAnsi="仿宋" w:eastAsia="仿宋_GB2312"/>
          <w:color w:val="000000" w:themeColor="text1"/>
          <w:kern w:val="0"/>
          <w:sz w:val="32"/>
          <w:szCs w:val="32"/>
        </w:rPr>
      </w:pPr>
      <w:r>
        <w:rPr>
          <w:rFonts w:hint="eastAsia" w:ascii="楷体_GB2312" w:hAnsi="楷体_GB2312" w:eastAsia="楷体_GB2312"/>
          <w:b/>
          <w:bCs/>
          <w:color w:val="000000" w:themeColor="text1"/>
          <w:kern w:val="0"/>
          <w:sz w:val="32"/>
          <w:szCs w:val="32"/>
        </w:rPr>
        <w:t>构建高效智慧的玉林应急管理体系。</w:t>
      </w:r>
      <w:r>
        <w:rPr>
          <w:rFonts w:hint="eastAsia" w:ascii="仿宋_GB2312" w:hAnsi="仿宋" w:eastAsia="仿宋_GB2312"/>
          <w:color w:val="000000" w:themeColor="text1"/>
          <w:kern w:val="0"/>
          <w:sz w:val="32"/>
          <w:szCs w:val="32"/>
        </w:rPr>
        <w:t>对接“壮美广西·应急云”，加强应急管理数字化建设，强化精准治理、源头治理、系统治理、协同治理、智慧治理，打造“防抗救一体化工作格局”。着力完善玉林指挥信息网、卫星通信网、无线通信网等应急网络建设和天地一体化应急通信网络覆盖，拓展指挥信息网与同级部门横向连接，扩展链路带宽以满足业务数据的传输需要。构建市级数据治理系统，汇聚、关联、融合各类数据资源，为监督管理、监测预警、指挥救援、决策支持、政务管理等应急管理综合应用提供数据支撑。对应广西应急广播体系，以玉林应急管理指挥技术体系为基础，打造对上连接自治区，对下贯通乡、村的玉林应急广播体系，</w:t>
      </w:r>
      <w:r>
        <w:rPr>
          <w:rFonts w:hint="eastAsia" w:ascii="仿宋_GB2312" w:hAnsi="仿宋" w:eastAsia="仿宋_GB2312" w:cs="仿宋"/>
          <w:color w:val="000000" w:themeColor="text1"/>
          <w:sz w:val="32"/>
          <w:szCs w:val="32"/>
        </w:rPr>
        <w:t>实现重点区域全覆盖。</w:t>
      </w:r>
      <w:r>
        <w:rPr>
          <w:rFonts w:hint="eastAsia" w:ascii="仿宋_GB2312" w:hAnsi="仿宋" w:eastAsia="仿宋_GB2312"/>
          <w:color w:val="000000" w:themeColor="text1"/>
          <w:kern w:val="0"/>
          <w:sz w:val="32"/>
          <w:szCs w:val="32"/>
        </w:rPr>
        <w:t>推进应急指挥场所和基础信息支撑工程建设，满足应急突发事件时的协同会商、指挥调度的需求。健全公共卫生应急管理体系，建立症状监测、早期预警关键阈值和触发机制，提升传染病、突发公共卫生事件的早期发现和自动预警能力，并通过大数据汇集、实时分析、集中研判能力建设，辅助决策者精准制定措施。构建</w:t>
      </w:r>
      <w:r>
        <w:rPr>
          <w:rFonts w:hint="eastAsia" w:ascii="仿宋_GB2312" w:hAnsi="仿宋" w:eastAsia="仿宋_GB2312" w:cs="仿宋"/>
          <w:color w:val="000000" w:themeColor="text1"/>
          <w:sz w:val="32"/>
          <w:szCs w:val="32"/>
        </w:rPr>
        <w:t>城乡安全风险监测预警公共信息平台，深度推广</w:t>
      </w:r>
      <w:r>
        <w:rPr>
          <w:rFonts w:hint="eastAsia" w:ascii="仿宋_GB2312" w:eastAsia="仿宋_GB2312"/>
          <w:color w:val="000000" w:themeColor="text1"/>
          <w:sz w:val="32"/>
          <w:szCs w:val="32"/>
        </w:rPr>
        <w:t>“互联网+监管”、“互联网+执法”系统的应用，</w:t>
      </w:r>
      <w:r>
        <w:rPr>
          <w:rFonts w:hint="eastAsia" w:ascii="仿宋_GB2312" w:hAnsi="仿宋" w:eastAsia="仿宋_GB2312"/>
          <w:color w:val="000000" w:themeColor="text1"/>
          <w:kern w:val="0"/>
          <w:sz w:val="32"/>
          <w:szCs w:val="32"/>
        </w:rPr>
        <w:t>实现闭环的预警监管处置。</w:t>
      </w:r>
    </w:p>
    <w:p>
      <w:pPr>
        <w:pStyle w:val="6"/>
        <w:spacing w:before="0" w:after="0" w:line="600" w:lineRule="exact"/>
        <w:ind w:firstLine="643" w:firstLineChars="200"/>
        <w:rPr>
          <w:rFonts w:eastAsia="楷体_GB2312"/>
          <w:color w:val="000000" w:themeColor="text1"/>
        </w:rPr>
      </w:pPr>
      <w:bookmarkStart w:id="71" w:name="_Toc93410010"/>
      <w:r>
        <w:rPr>
          <w:rFonts w:eastAsia="楷体_GB2312"/>
          <w:color w:val="000000" w:themeColor="text1"/>
        </w:rPr>
        <w:t>4.</w:t>
      </w:r>
      <w:r>
        <w:rPr>
          <w:rFonts w:hint="eastAsia" w:eastAsia="楷体_GB2312"/>
          <w:color w:val="000000" w:themeColor="text1"/>
        </w:rPr>
        <w:t>推进平安玉林建设</w:t>
      </w:r>
      <w:bookmarkEnd w:id="71"/>
    </w:p>
    <w:p>
      <w:pPr>
        <w:spacing w:line="600" w:lineRule="exact"/>
        <w:ind w:firstLine="643" w:firstLineChars="200"/>
        <w:rPr>
          <w:rFonts w:ascii="仿宋_GB2312" w:hAnsi="仿宋" w:eastAsia="仿宋_GB2312"/>
          <w:color w:val="000000" w:themeColor="text1"/>
          <w:kern w:val="0"/>
          <w:sz w:val="32"/>
          <w:szCs w:val="32"/>
        </w:rPr>
      </w:pPr>
      <w:r>
        <w:rPr>
          <w:rFonts w:hint="eastAsia" w:ascii="楷体_GB2312" w:hAnsi="楷体_GB2312" w:eastAsia="楷体_GB2312"/>
          <w:b/>
          <w:bCs/>
          <w:color w:val="000000" w:themeColor="text1"/>
          <w:kern w:val="0"/>
          <w:sz w:val="32"/>
          <w:szCs w:val="32"/>
        </w:rPr>
        <w:t>筑牢公共安全基础。</w:t>
      </w:r>
      <w:r>
        <w:rPr>
          <w:rFonts w:hint="eastAsia" w:ascii="仿宋_GB2312" w:hAnsi="仿宋" w:eastAsia="仿宋_GB2312"/>
          <w:color w:val="000000" w:themeColor="text1"/>
          <w:kern w:val="0"/>
          <w:sz w:val="32"/>
          <w:szCs w:val="32"/>
        </w:rPr>
        <w:t>对接平安广西建设方案，</w:t>
      </w:r>
      <w:r>
        <w:rPr>
          <w:rFonts w:eastAsia="仿宋_GB2312"/>
          <w:color w:val="000000" w:themeColor="text1"/>
          <w:sz w:val="32"/>
          <w:szCs w:val="32"/>
        </w:rPr>
        <w:t>依托“城市大脑”，</w:t>
      </w:r>
      <w:r>
        <w:rPr>
          <w:rFonts w:hint="eastAsia" w:eastAsia="仿宋_GB2312"/>
          <w:color w:val="000000" w:themeColor="text1"/>
          <w:sz w:val="32"/>
          <w:szCs w:val="32"/>
        </w:rPr>
        <w:t>在消防安全、人口管理、交通治安、疫情防控、生态环保、乡村建设管理、自然灾害预防等方面</w:t>
      </w:r>
      <w:r>
        <w:rPr>
          <w:rFonts w:eastAsia="仿宋_GB2312"/>
          <w:color w:val="000000" w:themeColor="text1"/>
          <w:sz w:val="32"/>
          <w:szCs w:val="32"/>
        </w:rPr>
        <w:t>集成一批子系统，推动跨区域、跨层级、跨行业联防共治，形成社会监管、治理、决策一体化指挥体系</w:t>
      </w:r>
      <w:r>
        <w:rPr>
          <w:rFonts w:hint="eastAsia" w:eastAsia="仿宋_GB2312"/>
          <w:color w:val="000000" w:themeColor="text1"/>
          <w:sz w:val="32"/>
          <w:szCs w:val="32"/>
        </w:rPr>
        <w:t>。大力推进智慧警务，高水平推进“智慧安防小区”“雪亮工程”建设，</w:t>
      </w:r>
      <w:r>
        <w:rPr>
          <w:rFonts w:hint="eastAsia" w:ascii="仿宋_GB2312" w:hAnsi="仿宋" w:eastAsia="仿宋_GB2312"/>
          <w:color w:val="000000" w:themeColor="text1"/>
          <w:kern w:val="0"/>
          <w:sz w:val="32"/>
          <w:szCs w:val="32"/>
        </w:rPr>
        <w:t>加强刑事、技侦、网安技术装备、信息系统建设，全面提升社会治安防控体系立体化、智能化水平。坚守食品药品安全底线，强化药品、医疗器械生产经营使用环节的动态监管和风险控制，构建疫苗安全监管体系，加强网络销售药品等新生业态监管。</w:t>
      </w:r>
    </w:p>
    <w:p>
      <w:pPr>
        <w:spacing w:line="600" w:lineRule="exact"/>
        <w:ind w:firstLine="643" w:firstLineChars="200"/>
        <w:rPr>
          <w:rFonts w:ascii="仿宋_GB2312" w:hAnsi="仿宋" w:eastAsia="仿宋_GB2312"/>
          <w:color w:val="000000" w:themeColor="text1"/>
          <w:kern w:val="0"/>
          <w:sz w:val="32"/>
          <w:szCs w:val="32"/>
        </w:rPr>
      </w:pPr>
      <w:r>
        <w:rPr>
          <w:rFonts w:hint="eastAsia" w:ascii="楷体_GB2312" w:hAnsi="楷体_GB2312" w:eastAsia="楷体_GB2312"/>
          <w:b/>
          <w:bCs/>
          <w:color w:val="000000" w:themeColor="text1"/>
          <w:kern w:val="0"/>
          <w:sz w:val="32"/>
          <w:szCs w:val="32"/>
        </w:rPr>
        <w:t>深化“数字法治、智慧司法”建设。</w:t>
      </w:r>
      <w:r>
        <w:rPr>
          <w:rFonts w:hint="eastAsia" w:ascii="仿宋_GB2312" w:hAnsi="仿宋" w:eastAsia="仿宋_GB2312"/>
          <w:color w:val="000000" w:themeColor="text1"/>
          <w:kern w:val="0"/>
          <w:sz w:val="32"/>
          <w:szCs w:val="32"/>
        </w:rPr>
        <w:t>深化“互联网+公共法律服务”，升级完善市公共法律服务信息化平台，加快建成覆盖全业务、全时空的法律服务网络。推进全市政法系统跨部门信息资源共享，推动刑事案件跨部门全流程网上协同办案。推动大数据、人工智能等科技创新成果同司法行政业务深度融合，创新服务方式，构建评估、预测、应急指挥等相关模型，助力事前预警，统一监督管理。把“区块链+法治”作为“数字法治、智慧司法”建设新内容，探索运用区块链技术在司法鉴定、仲裁、法律援助、律师会见、司法考试等方面的便民服务。</w:t>
      </w:r>
    </w:p>
    <w:p>
      <w:pPr>
        <w:spacing w:line="600" w:lineRule="exact"/>
        <w:ind w:firstLine="643" w:firstLineChars="200"/>
        <w:rPr>
          <w:color w:val="000000" w:themeColor="text1"/>
        </w:rPr>
      </w:pPr>
      <w:r>
        <w:rPr>
          <w:rFonts w:hint="eastAsia" w:ascii="楷体_GB2312" w:hAnsi="楷体_GB2312" w:eastAsia="楷体_GB2312"/>
          <w:b/>
          <w:bCs/>
          <w:color w:val="000000" w:themeColor="text1"/>
          <w:kern w:val="0"/>
          <w:sz w:val="32"/>
          <w:szCs w:val="32"/>
        </w:rPr>
        <w:t>提升基层社会治理能力。</w:t>
      </w:r>
      <w:r>
        <w:rPr>
          <w:rFonts w:hint="eastAsia" w:ascii="仿宋_GB2312" w:hAnsi="仿宋" w:eastAsia="仿宋_GB2312"/>
          <w:color w:val="000000" w:themeColor="text1"/>
          <w:kern w:val="0"/>
          <w:sz w:val="32"/>
          <w:szCs w:val="32"/>
        </w:rPr>
        <w:t>对接广西社会治理综合平台建设，强化“基层治理四平台”运行管理和主干平台作用发挥，推进市县乡三级综合信息指挥中心（室）的指挥功能建设，以网格为载体，推动相关信息基础设施共建共享、互联互通、开放兼容，形成“横向到边、纵向到底”的多元网络化联动治理体系，打通社会治理“最后一公里”。整合现有设在乡镇和街道的党的建设、综合治理、社区治理、数字城管等各系统指挥信息资源，完善线上线下平台预警预判、流转处置</w:t>
      </w:r>
      <w:r>
        <w:rPr>
          <w:rFonts w:hint="eastAsia" w:ascii="仿宋_GB2312" w:hAnsi="仿宋_GB2312" w:eastAsia="仿宋_GB2312" w:cs="仿宋_GB2312"/>
          <w:color w:val="000000" w:themeColor="text1"/>
          <w:kern w:val="0"/>
          <w:sz w:val="32"/>
          <w:szCs w:val="32"/>
        </w:rPr>
        <w:t>、指挥调度、</w:t>
      </w:r>
      <w:r>
        <w:rPr>
          <w:rFonts w:hint="eastAsia" w:ascii="仿宋_GB2312" w:hAnsi="仿宋" w:eastAsia="仿宋_GB2312"/>
          <w:color w:val="000000" w:themeColor="text1"/>
          <w:kern w:val="0"/>
          <w:sz w:val="32"/>
          <w:szCs w:val="32"/>
        </w:rPr>
        <w:t>结果反馈的工作闭环。探索建设未来社区，用数字孪生的理念，打造社区数字生活新空间。整合政府对社区治理的各项应用，形成数字社会基本功能单元系统。</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000" w:type="pct"/>
            <w:tcBorders>
              <w:top w:val="single" w:color="auto" w:sz="4" w:space="0"/>
              <w:left w:val="single" w:color="auto" w:sz="4" w:space="0"/>
              <w:bottom w:val="single" w:color="auto" w:sz="4" w:space="0"/>
              <w:right w:val="single" w:color="auto" w:sz="4" w:space="0"/>
            </w:tcBorders>
          </w:tcPr>
          <w:p>
            <w:pPr>
              <w:pStyle w:val="33"/>
              <w:spacing w:before="0" w:after="0" w:line="600" w:lineRule="exact"/>
              <w:jc w:val="center"/>
              <w:rPr>
                <w:rFonts w:ascii="方正仿宋_GBK" w:hAnsi="仿宋" w:eastAsia="方正仿宋_GBK"/>
                <w:color w:val="000000" w:themeColor="text1"/>
                <w:sz w:val="32"/>
                <w:szCs w:val="32"/>
              </w:rPr>
            </w:pPr>
            <w:r>
              <w:rPr>
                <w:rFonts w:hint="eastAsia" w:ascii="黑体" w:hAnsi="黑体" w:eastAsia="黑体"/>
                <w:color w:val="000000" w:themeColor="text1"/>
                <w:kern w:val="21"/>
                <w:sz w:val="30"/>
                <w:szCs w:val="30"/>
              </w:rPr>
              <w:t>专栏</w:t>
            </w:r>
            <w:r>
              <w:rPr>
                <w:rFonts w:ascii="黑体" w:hAnsi="黑体" w:eastAsia="黑体"/>
                <w:color w:val="000000" w:themeColor="text1"/>
                <w:kern w:val="21"/>
                <w:sz w:val="30"/>
                <w:szCs w:val="30"/>
              </w:rPr>
              <w:t>14</w:t>
            </w:r>
            <w:r>
              <w:rPr>
                <w:rFonts w:hint="eastAsia" w:ascii="黑体" w:hAnsi="黑体" w:eastAsia="黑体"/>
                <w:color w:val="000000" w:themeColor="text1"/>
                <w:kern w:val="21"/>
                <w:sz w:val="30"/>
                <w:szCs w:val="30"/>
              </w:rPr>
              <w:t xml:space="preserve"> 治理数字化提效重点工程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tcBorders>
              <w:top w:val="single" w:color="auto" w:sz="4" w:space="0"/>
              <w:left w:val="single" w:color="auto" w:sz="4" w:space="0"/>
              <w:bottom w:val="single" w:color="auto" w:sz="4" w:space="0"/>
              <w:right w:val="single" w:color="auto" w:sz="4" w:space="0"/>
            </w:tcBorders>
          </w:tcPr>
          <w:p>
            <w:pPr>
              <w:adjustRightInd w:val="0"/>
              <w:snapToGrid w:val="0"/>
              <w:spacing w:line="520" w:lineRule="exact"/>
              <w:ind w:firstLine="562" w:firstLineChars="200"/>
              <w:rPr>
                <w:rFonts w:ascii="楷体_GB2312" w:hAnsi="楷体_GB2312" w:eastAsia="楷体_GB2312"/>
                <w:color w:val="000000" w:themeColor="text1"/>
                <w:kern w:val="0"/>
                <w:sz w:val="28"/>
                <w:szCs w:val="28"/>
              </w:rPr>
            </w:pPr>
            <w:r>
              <w:rPr>
                <w:rFonts w:hint="eastAsia" w:ascii="楷体_GB2312" w:hAnsi="楷体_GB2312" w:eastAsia="楷体_GB2312"/>
                <w:b/>
                <w:bCs/>
                <w:color w:val="000000" w:themeColor="text1"/>
                <w:kern w:val="0"/>
                <w:sz w:val="28"/>
                <w:szCs w:val="28"/>
              </w:rPr>
              <w:t>玉林智慧生态环境平台建设工程：</w:t>
            </w:r>
            <w:r>
              <w:rPr>
                <w:rFonts w:hint="eastAsia" w:ascii="楷体_GB2312" w:hAnsi="楷体_GB2312" w:eastAsia="楷体_GB2312"/>
                <w:color w:val="000000" w:themeColor="text1"/>
                <w:kern w:val="0"/>
                <w:sz w:val="28"/>
                <w:szCs w:val="28"/>
              </w:rPr>
              <w:t>利用物联网、云计算、大数据等信息技术，以生态环境自动监测网络、高空视频监控、重点污染源自动监控基础平台为基础，整合建设统一的生态环境监测数据平台和生态环境预警指挥决策平台，向上对接自治区生态环保大数据中心，横向对接玉林“城市大脑”，共享水质水量、气象、空气质量、土壤质量、生态状况等环境数据，推进各级各类监测数据系统互联互通，实现环保业务协同化、环境预警数字化、环境监管精细化、环境指挥决策科学化。</w:t>
            </w:r>
          </w:p>
          <w:p>
            <w:pPr>
              <w:adjustRightInd w:val="0"/>
              <w:snapToGrid w:val="0"/>
              <w:spacing w:line="520" w:lineRule="exact"/>
              <w:ind w:firstLine="562" w:firstLineChars="200"/>
              <w:rPr>
                <w:rFonts w:ascii="楷体_GB2312" w:hAnsi="楷体_GB2312" w:eastAsia="楷体_GB2312"/>
                <w:color w:val="000000" w:themeColor="text1"/>
                <w:kern w:val="0"/>
                <w:sz w:val="28"/>
                <w:szCs w:val="28"/>
              </w:rPr>
            </w:pPr>
            <w:r>
              <w:rPr>
                <w:rFonts w:hint="eastAsia" w:ascii="楷体_GB2312" w:hAnsi="楷体_GB2312" w:eastAsia="楷体_GB2312"/>
                <w:b/>
                <w:bCs/>
                <w:color w:val="000000" w:themeColor="text1"/>
                <w:kern w:val="0"/>
                <w:sz w:val="28"/>
                <w:szCs w:val="28"/>
              </w:rPr>
              <w:t>应急指挥信息基础支撑工程：</w:t>
            </w:r>
            <w:r>
              <w:rPr>
                <w:rFonts w:hint="eastAsia" w:ascii="楷体_GB2312" w:hAnsi="楷体_GB2312" w:eastAsia="楷体_GB2312"/>
                <w:color w:val="000000" w:themeColor="text1"/>
                <w:kern w:val="0"/>
                <w:sz w:val="28"/>
                <w:szCs w:val="28"/>
              </w:rPr>
              <w:t>按照急用先行、逐步完善的原则，建设应急指挥中心及应急指挥信息基础支撑系统。包括指挥大厅、会商室、值班室、综合控制室等功能性房间以及大屏显示系统、LED显示系统、图像接入系统、集中控制系统等。按照实际需求，配备应急指挥装备，建设监测监控平台，在应急事件处置，生产安全、自然灾害风险监测预警等工作中发挥智能大脑作用。</w:t>
            </w:r>
          </w:p>
          <w:p>
            <w:pPr>
              <w:pStyle w:val="47"/>
              <w:adjustRightInd w:val="0"/>
              <w:snapToGrid w:val="0"/>
              <w:spacing w:line="520" w:lineRule="exact"/>
              <w:ind w:firstLine="562"/>
              <w:rPr>
                <w:rFonts w:ascii="楷体_GB2312" w:hAnsi="楷体_GB2312" w:eastAsia="楷体_GB2312" w:cstheme="minorBidi"/>
                <w:color w:val="000000" w:themeColor="text1"/>
                <w:kern w:val="0"/>
                <w:sz w:val="28"/>
                <w:szCs w:val="28"/>
              </w:rPr>
            </w:pPr>
            <w:r>
              <w:rPr>
                <w:rFonts w:hint="eastAsia" w:ascii="楷体_GB2312" w:hAnsi="楷体_GB2312" w:eastAsia="楷体_GB2312" w:cstheme="minorBidi"/>
                <w:b/>
                <w:bCs/>
                <w:color w:val="000000" w:themeColor="text1"/>
                <w:kern w:val="0"/>
                <w:sz w:val="28"/>
                <w:szCs w:val="28"/>
              </w:rPr>
              <w:t>玉林应急广播体系建设工程：</w:t>
            </w:r>
            <w:r>
              <w:rPr>
                <w:rFonts w:hint="eastAsia" w:ascii="楷体_GB2312" w:hAnsi="楷体_GB2312" w:eastAsia="楷体_GB2312" w:cstheme="minorBidi"/>
                <w:color w:val="000000" w:themeColor="text1"/>
                <w:kern w:val="0"/>
                <w:sz w:val="28"/>
                <w:szCs w:val="28"/>
              </w:rPr>
              <w:t>根据国家广电总局规范要求，以玉林实际情况为基础，坚持自主研发，基于“云、网、端”打造安全、稳定、高效的玉林应急广播体系。实现自治区、市、县、乡、村五级贯通的应急广播体系，具备分级、分区、分终端播发等服务功能；横向实现与应急、气象、地震、水利等政府部门信息发布系统的互联互通，加快在疫情防控、风险预警、社会治理、应急处置、国防动员、基础教育、文化旅游、乡村振兴等领域应用。</w:t>
            </w:r>
          </w:p>
          <w:p>
            <w:pPr>
              <w:pStyle w:val="47"/>
              <w:adjustRightInd w:val="0"/>
              <w:snapToGrid w:val="0"/>
              <w:spacing w:line="520" w:lineRule="exact"/>
              <w:ind w:firstLine="562"/>
              <w:rPr>
                <w:rFonts w:ascii="楷体_GB2312" w:hAnsi="楷体_GB2312" w:eastAsia="楷体_GB2312"/>
                <w:color w:val="000000" w:themeColor="text1"/>
                <w:kern w:val="0"/>
                <w:sz w:val="28"/>
                <w:szCs w:val="28"/>
              </w:rPr>
            </w:pPr>
            <w:r>
              <w:rPr>
                <w:rFonts w:hint="eastAsia" w:ascii="楷体_GB2312" w:hAnsi="楷体_GB2312" w:eastAsia="楷体_GB2312"/>
                <w:b/>
                <w:bCs/>
                <w:color w:val="000000" w:themeColor="text1"/>
                <w:kern w:val="0"/>
                <w:sz w:val="28"/>
                <w:szCs w:val="28"/>
              </w:rPr>
              <w:t>公共安全视频监控网络建设工程。</w:t>
            </w:r>
            <w:r>
              <w:rPr>
                <w:rFonts w:hint="eastAsia" w:ascii="楷体_GB2312" w:hAnsi="楷体_GB2312" w:eastAsia="楷体_GB2312"/>
                <w:color w:val="000000" w:themeColor="text1"/>
                <w:kern w:val="0"/>
                <w:sz w:val="28"/>
                <w:szCs w:val="28"/>
              </w:rPr>
              <w:t>推进“雪亮工程”建设，严格对照“全域覆盖、全网共享、全时可用、全程可控”的公共安全视频监控建设联网总要求，加强对政府机关、学校、广场、居住区户外场地、公园、体育场地、车站等重点公共区域的视频监控点位布局。推动视频大数据中心建设，开展视频智能化分析应用，实现各类物联感知数据的整合汇聚、智能处理、综合处理，开展与公安业务数据深度融合的挖掘分析应用，构建全市视频图像数据资源应用体系。</w:t>
            </w:r>
          </w:p>
          <w:p>
            <w:pPr>
              <w:pStyle w:val="47"/>
              <w:adjustRightInd w:val="0"/>
              <w:snapToGrid w:val="0"/>
              <w:spacing w:line="520" w:lineRule="exact"/>
              <w:ind w:firstLine="562"/>
              <w:rPr>
                <w:rFonts w:ascii="楷体_GB2312" w:hAnsi="楷体_GB2312" w:eastAsia="楷体_GB2312"/>
                <w:b/>
                <w:bCs/>
                <w:color w:val="000000" w:themeColor="text1"/>
                <w:kern w:val="0"/>
                <w:sz w:val="28"/>
                <w:szCs w:val="28"/>
              </w:rPr>
            </w:pPr>
            <w:r>
              <w:rPr>
                <w:rFonts w:hint="eastAsia" w:ascii="楷体_GB2312" w:hAnsi="楷体_GB2312" w:eastAsia="楷体_GB2312"/>
                <w:b/>
                <w:bCs/>
                <w:color w:val="000000" w:themeColor="text1"/>
                <w:kern w:val="0"/>
                <w:sz w:val="28"/>
                <w:szCs w:val="28"/>
              </w:rPr>
              <w:t>社会治安防控体系建设工程：</w:t>
            </w:r>
            <w:r>
              <w:rPr>
                <w:rFonts w:hint="eastAsia" w:ascii="楷体_GB2312" w:hAnsi="楷体_GB2312" w:eastAsia="楷体_GB2312"/>
                <w:color w:val="000000" w:themeColor="text1"/>
                <w:kern w:val="0"/>
                <w:sz w:val="28"/>
                <w:szCs w:val="28"/>
              </w:rPr>
              <w:t>围绕圈层查控、单元防控、要素管控等方面，利旧或新建物联感知设施、设备，推进智能感知、智能采集等信息化科技手段应用。建设智慧安防小区防控、智慧街面巡防治安管控、公安检查站治安管控、城市公共交通智慧防控系统等四大系统并融入社会治安防控平台，实现重点领域、重点区域信息化管理、智能化应用，推动警务模式和警务机制转型升级。有效利用公安大数据平台数据、有效汇聚治安综合业务应用系统数据、政府政务数据和互联网数据以及城市物联网数据，全面支撑指数与业务的融合，不断释放数据智慧，实现决策科学化、治理精准化、服务高效化的目标。</w:t>
            </w:r>
          </w:p>
        </w:tc>
      </w:tr>
    </w:tbl>
    <w:p>
      <w:pPr>
        <w:pStyle w:val="5"/>
        <w:keepNext w:val="0"/>
        <w:keepLines w:val="0"/>
        <w:adjustRightInd w:val="0"/>
        <w:snapToGrid w:val="0"/>
        <w:spacing w:before="0" w:after="0" w:line="600" w:lineRule="exact"/>
        <w:ind w:firstLine="640"/>
        <w:jc w:val="both"/>
        <w:rPr>
          <w:rFonts w:ascii="Times New Roman" w:hAnsi="Times New Roman" w:eastAsia="方正楷体_GBK" w:cs="方正楷体_GBK"/>
          <w:bCs w:val="0"/>
          <w:color w:val="000000" w:themeColor="text1"/>
          <w:kern w:val="21"/>
        </w:rPr>
      </w:pPr>
      <w:bookmarkStart w:id="72" w:name="_Toc93410011"/>
      <w:r>
        <w:rPr>
          <w:rFonts w:hint="eastAsia" w:ascii="Times New Roman" w:hAnsi="Times New Roman" w:eastAsia="方正楷体_GBK" w:cs="方正楷体_GBK"/>
          <w:bCs w:val="0"/>
          <w:color w:val="000000" w:themeColor="text1"/>
          <w:kern w:val="21"/>
        </w:rPr>
        <w:t>（六）奋力惠民生增福祉，优化数字公共服务</w:t>
      </w:r>
      <w:bookmarkEnd w:id="72"/>
    </w:p>
    <w:p>
      <w:pPr>
        <w:spacing w:line="600" w:lineRule="exact"/>
        <w:ind w:firstLine="640" w:firstLineChars="200"/>
        <w:rPr>
          <w:rFonts w:ascii="仿宋_GB2312" w:hAnsi="仿宋" w:eastAsia="仿宋_GB2312"/>
          <w:color w:val="000000" w:themeColor="text1"/>
          <w:kern w:val="0"/>
          <w:sz w:val="32"/>
          <w:szCs w:val="32"/>
        </w:rPr>
      </w:pPr>
      <w:r>
        <w:rPr>
          <w:rFonts w:hint="eastAsia" w:ascii="仿宋_GB2312" w:hAnsi="仿宋" w:eastAsia="仿宋_GB2312"/>
          <w:color w:val="000000" w:themeColor="text1"/>
          <w:kern w:val="0"/>
          <w:sz w:val="32"/>
          <w:szCs w:val="32"/>
        </w:rPr>
        <w:t>以群众需求为牵引，以惠民为出发点和落脚点，依托“爱玉林”</w:t>
      </w:r>
      <w:r>
        <w:rPr>
          <w:rFonts w:eastAsia="仿宋_GB2312"/>
          <w:color w:val="000000" w:themeColor="text1"/>
          <w:kern w:val="0"/>
          <w:sz w:val="32"/>
          <w:szCs w:val="32"/>
        </w:rPr>
        <w:t>APP</w:t>
      </w:r>
      <w:r>
        <w:rPr>
          <w:rFonts w:hint="eastAsia" w:ascii="仿宋_GB2312" w:hAnsi="仿宋" w:eastAsia="仿宋_GB2312"/>
          <w:color w:val="000000" w:themeColor="text1"/>
          <w:kern w:val="0"/>
          <w:sz w:val="32"/>
          <w:szCs w:val="32"/>
        </w:rPr>
        <w:t>，聚焦医疗、教育、康养、社区、社保、文旅等民生领域，继续深化互联网+政务建设，带动民生服务重大领域智慧化应用，建成惠及玉林全民的融合服务体系。</w:t>
      </w:r>
    </w:p>
    <w:p>
      <w:pPr>
        <w:pStyle w:val="6"/>
        <w:spacing w:before="0" w:after="0" w:line="600" w:lineRule="exact"/>
        <w:ind w:firstLine="643" w:firstLineChars="200"/>
        <w:rPr>
          <w:rFonts w:eastAsia="楷体_GB2312"/>
          <w:color w:val="000000" w:themeColor="text1"/>
        </w:rPr>
      </w:pPr>
      <w:bookmarkStart w:id="73" w:name="_Toc93410012"/>
      <w:r>
        <w:rPr>
          <w:rFonts w:eastAsia="楷体_GB2312"/>
          <w:color w:val="000000" w:themeColor="text1"/>
        </w:rPr>
        <w:t>1.</w:t>
      </w:r>
      <w:r>
        <w:rPr>
          <w:rFonts w:hint="eastAsia" w:eastAsia="楷体_GB2312"/>
          <w:color w:val="000000" w:themeColor="text1"/>
        </w:rPr>
        <w:t>推进“互联网+医疗”</w:t>
      </w:r>
      <w:bookmarkEnd w:id="73"/>
    </w:p>
    <w:p>
      <w:pPr>
        <w:spacing w:line="600" w:lineRule="exact"/>
        <w:ind w:firstLine="640" w:firstLineChars="200"/>
        <w:rPr>
          <w:rFonts w:ascii="方正仿宋_GBK" w:hAnsi="仿宋_GB2312" w:eastAsia="方正仿宋_GBK" w:cs="仿宋_GB2312"/>
          <w:color w:val="000000" w:themeColor="text1"/>
          <w:sz w:val="32"/>
          <w:szCs w:val="32"/>
        </w:rPr>
      </w:pPr>
      <w:r>
        <w:rPr>
          <w:rFonts w:hint="eastAsia" w:ascii="仿宋_GB2312" w:hAnsi="仿宋_GB2312" w:eastAsia="仿宋_GB2312" w:cs="仿宋_GB2312"/>
          <w:color w:val="000000" w:themeColor="text1"/>
          <w:sz w:val="32"/>
          <w:szCs w:val="32"/>
        </w:rPr>
        <w:t>对应广西跨医疗机构健康医疗信息服务工程，构建玉林健康医疗大数据平台，</w:t>
      </w:r>
      <w:r>
        <w:rPr>
          <w:rFonts w:hint="eastAsia" w:ascii="仿宋_GB2312" w:eastAsia="仿宋_GB2312"/>
          <w:color w:val="000000" w:themeColor="text1"/>
          <w:sz w:val="32"/>
          <w:szCs w:val="32"/>
        </w:rPr>
        <w:t>推进</w:t>
      </w:r>
      <w:r>
        <w:rPr>
          <w:rFonts w:hint="eastAsia" w:ascii="仿宋_GB2312" w:hAnsi="仿宋_GB2312" w:eastAsia="仿宋_GB2312" w:cs="仿宋_GB2312"/>
          <w:color w:val="000000" w:themeColor="text1"/>
          <w:sz w:val="32"/>
          <w:szCs w:val="32"/>
        </w:rPr>
        <w:t>不同机构的信</w:t>
      </w:r>
      <w:r>
        <w:rPr>
          <w:rFonts w:hint="eastAsia" w:ascii="仿宋_GB2312" w:eastAsia="仿宋_GB2312"/>
          <w:color w:val="000000" w:themeColor="text1"/>
          <w:sz w:val="32"/>
          <w:szCs w:val="32"/>
        </w:rPr>
        <w:t>息共享、互通互认、业务协同，整合贯通覆盖基本医疗、公共卫生和健康管理的全人全程健康服务系统和监管决策系统，培育形成以健康医疗大数据为核心的产业应用生态</w:t>
      </w:r>
      <w:r>
        <w:rPr>
          <w:rFonts w:hint="eastAsia" w:ascii="仿宋_GB2312" w:hAnsi="仿宋_GB2312" w:eastAsia="仿宋_GB2312" w:cs="仿宋_GB2312"/>
          <w:color w:val="000000" w:themeColor="text1"/>
          <w:sz w:val="32"/>
          <w:szCs w:val="32"/>
        </w:rPr>
        <w:t>。搭建市、县、乡三级远程医疗协作网，常态</w:t>
      </w:r>
      <w:r>
        <w:rPr>
          <w:rFonts w:hint="eastAsia" w:ascii="仿宋_GB2312" w:eastAsia="仿宋_GB2312"/>
          <w:color w:val="000000" w:themeColor="text1"/>
          <w:sz w:val="32"/>
          <w:szCs w:val="32"/>
        </w:rPr>
        <w:t>开展区块链远程会诊、教学、疑难病讨论等服务，积极发展网约医生，促进优质医疗资源下沉。</w:t>
      </w:r>
      <w:r>
        <w:rPr>
          <w:rFonts w:hint="eastAsia" w:ascii="仿宋_GB2312" w:hAnsi="仿宋_GB2312" w:eastAsia="仿宋_GB2312" w:cs="仿宋_GB2312"/>
          <w:color w:val="000000" w:themeColor="text1"/>
          <w:sz w:val="32"/>
          <w:szCs w:val="32"/>
        </w:rPr>
        <w:t>发展互联网医院，加强智慧医院建设，推进线上预约检查检验，构建集智慧就医、智慧诊断、智慧治疗、智慧病房、智慧后勤和智慧管理于一体的智慧医院体系。序时推进医疗保障信息平台建设，依托医保电子凭证或社保卡，继续扩大异地就医直接结算范围。利用手机</w:t>
      </w:r>
      <w:r>
        <w:rPr>
          <w:rFonts w:eastAsia="仿宋_GB2312"/>
          <w:color w:val="000000" w:themeColor="text1"/>
          <w:sz w:val="32"/>
          <w:szCs w:val="32"/>
        </w:rPr>
        <w:t>APP</w:t>
      </w:r>
      <w:r>
        <w:rPr>
          <w:rFonts w:hint="eastAsia" w:ascii="仿宋_GB2312" w:hAnsi="仿宋_GB2312" w:eastAsia="仿宋_GB2312" w:cs="仿宋_GB2312"/>
          <w:color w:val="000000" w:themeColor="text1"/>
          <w:sz w:val="32"/>
          <w:szCs w:val="32"/>
        </w:rPr>
        <w:t>、微信公众号等渠道，拓展线上医保服务功能。规范互联网诊疗行为管理，强化事中事后监管，确保医疗健康服务质量和安全。加快融入中国—东盟跨境医疗服务平台建设，建立跨境医疗联盟以及跨境医疗培训中心，实现健康医疗资源共享，加强精准防控、联防联控和应对重大疾病防控与突发公共卫生事件能力。</w:t>
      </w:r>
    </w:p>
    <w:p>
      <w:pPr>
        <w:pStyle w:val="6"/>
        <w:spacing w:before="0" w:after="0" w:line="600" w:lineRule="exact"/>
        <w:ind w:firstLine="643" w:firstLineChars="200"/>
        <w:rPr>
          <w:rFonts w:eastAsia="楷体_GB2312"/>
          <w:color w:val="000000" w:themeColor="text1"/>
        </w:rPr>
      </w:pPr>
      <w:bookmarkStart w:id="74" w:name="_Toc93410013"/>
      <w:r>
        <w:rPr>
          <w:rFonts w:hint="eastAsia" w:eastAsia="楷体_GB2312"/>
          <w:color w:val="000000" w:themeColor="text1"/>
        </w:rPr>
        <w:t>2</w:t>
      </w:r>
      <w:r>
        <w:rPr>
          <w:rFonts w:eastAsia="楷体_GB2312"/>
          <w:color w:val="000000" w:themeColor="text1"/>
        </w:rPr>
        <w:t>.</w:t>
      </w:r>
      <w:r>
        <w:rPr>
          <w:rFonts w:hint="eastAsia" w:eastAsia="楷体_GB2312"/>
          <w:color w:val="000000" w:themeColor="text1"/>
        </w:rPr>
        <w:t>发展“互联网+教育”</w:t>
      </w:r>
      <w:bookmarkEnd w:id="74"/>
    </w:p>
    <w:p>
      <w:pPr>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融入广西教育网建设，改造提升玉林教育网络基础设施，加强“智慧校园”建设，重点实施“数字校园规范建设行动”，全面改善学校网络和接入条件，统筹建设一体化智能化教学、管理与服务平台。加强信息化终端设备配备，实现中小学校信息化教学环境全面普及且持续更新，基本实现中小学校班级多媒体教学设备全覆盖。全面推进“玉林智慧教育”建设，实施教育</w:t>
      </w:r>
      <w:r>
        <w:rPr>
          <w:rFonts w:eastAsia="仿宋_GB2312"/>
          <w:color w:val="000000" w:themeColor="text1"/>
          <w:sz w:val="32"/>
          <w:szCs w:val="32"/>
        </w:rPr>
        <w:t>信息化2.0行动计划，</w:t>
      </w:r>
      <w:r>
        <w:rPr>
          <w:rFonts w:hint="eastAsia" w:ascii="仿宋_GB2312" w:hAnsi="仿宋_GB2312" w:eastAsia="仿宋_GB2312" w:cs="仿宋_GB2312"/>
          <w:color w:val="000000" w:themeColor="text1"/>
          <w:sz w:val="32"/>
          <w:szCs w:val="32"/>
        </w:rPr>
        <w:t>建设和完善综合的玉林教育子网和教育资源管理服务平台，并与国家、自治区对应系统互联互通。开发优质数字化教育资源，推进数字教材及资源规模化应用。加强大数据、人工智能、</w:t>
      </w:r>
      <w:r>
        <w:rPr>
          <w:rFonts w:eastAsia="仿宋_GB2312"/>
          <w:color w:val="000000" w:themeColor="text1"/>
          <w:sz w:val="32"/>
          <w:szCs w:val="32"/>
        </w:rPr>
        <w:t>5G等</w:t>
      </w:r>
      <w:r>
        <w:rPr>
          <w:rFonts w:hint="eastAsia" w:ascii="仿宋_GB2312" w:hAnsi="仿宋_GB2312" w:eastAsia="仿宋_GB2312" w:cs="仿宋_GB2312"/>
          <w:color w:val="000000" w:themeColor="text1"/>
          <w:sz w:val="32"/>
          <w:szCs w:val="32"/>
        </w:rPr>
        <w:t>技术的综合应用，建设“智慧课堂”，以大数据</w:t>
      </w:r>
      <w:r>
        <w:rPr>
          <w:rFonts w:eastAsia="仿宋_GB2312"/>
          <w:color w:val="000000" w:themeColor="text1"/>
          <w:sz w:val="32"/>
          <w:szCs w:val="32"/>
        </w:rPr>
        <w:t>+AI</w:t>
      </w:r>
      <w:r>
        <w:rPr>
          <w:rFonts w:hint="eastAsia" w:ascii="仿宋_GB2312" w:hAnsi="仿宋_GB2312" w:eastAsia="仿宋_GB2312" w:cs="仿宋_GB2312"/>
          <w:color w:val="000000" w:themeColor="text1"/>
          <w:sz w:val="32"/>
          <w:szCs w:val="32"/>
        </w:rPr>
        <w:t>驱动教育方式的变革，加强“教育智脑”建设，加强教与学全过程数据分析和运用，开展个性化全学科全学段教育资源库建设，助力教育内涵发展，推动实现差异化教学、个性化学习和智能化服务。</w:t>
      </w:r>
      <w:r>
        <w:rPr>
          <w:rFonts w:hint="eastAsia" w:ascii="仿宋_GB2312" w:hAnsi="仿宋" w:eastAsia="仿宋_GB2312"/>
          <w:color w:val="000000" w:themeColor="text1"/>
          <w:kern w:val="0"/>
          <w:sz w:val="32"/>
          <w:szCs w:val="32"/>
        </w:rPr>
        <w:t>积极实施中小学教师信息技术应用能力</w:t>
      </w:r>
      <w:r>
        <w:rPr>
          <w:rFonts w:eastAsia="仿宋_GB2312"/>
          <w:color w:val="000000" w:themeColor="text1"/>
          <w:kern w:val="0"/>
          <w:sz w:val="32"/>
          <w:szCs w:val="32"/>
        </w:rPr>
        <w:t>培训2.0版</w:t>
      </w:r>
      <w:r>
        <w:rPr>
          <w:rFonts w:hint="eastAsia" w:ascii="仿宋_GB2312" w:hAnsi="仿宋" w:eastAsia="仿宋_GB2312"/>
          <w:color w:val="000000" w:themeColor="text1"/>
          <w:kern w:val="0"/>
          <w:sz w:val="32"/>
          <w:szCs w:val="32"/>
        </w:rPr>
        <w:t>，推进“智慧+乡村教师队伍建设”行动，试点开展基于线上智能环境的课堂教学、深化普及“三个课堂”应用等。创新教育服务业态，完善利益分配机制、知识产权保护制度和新型教育服务监管制度，促进“互联网+教育”新业态有序健康发展。</w:t>
      </w:r>
    </w:p>
    <w:p>
      <w:pPr>
        <w:pStyle w:val="6"/>
        <w:spacing w:before="0" w:after="0" w:line="600" w:lineRule="exact"/>
        <w:ind w:firstLine="643" w:firstLineChars="200"/>
        <w:rPr>
          <w:rFonts w:eastAsia="楷体_GB2312"/>
          <w:color w:val="000000" w:themeColor="text1"/>
        </w:rPr>
      </w:pPr>
      <w:bookmarkStart w:id="75" w:name="_Toc93410014"/>
      <w:r>
        <w:rPr>
          <w:rFonts w:hint="eastAsia" w:eastAsia="楷体_GB2312"/>
          <w:color w:val="000000" w:themeColor="text1"/>
        </w:rPr>
        <w:t>3</w:t>
      </w:r>
      <w:r>
        <w:rPr>
          <w:rFonts w:eastAsia="楷体_GB2312"/>
          <w:color w:val="000000" w:themeColor="text1"/>
        </w:rPr>
        <w:t>.</w:t>
      </w:r>
      <w:r>
        <w:rPr>
          <w:rFonts w:hint="eastAsia" w:eastAsia="楷体_GB2312"/>
          <w:color w:val="000000" w:themeColor="text1"/>
        </w:rPr>
        <w:t>推广“互联网+康养”</w:t>
      </w:r>
      <w:bookmarkEnd w:id="75"/>
    </w:p>
    <w:p>
      <w:pPr>
        <w:spacing w:line="600" w:lineRule="exact"/>
        <w:ind w:firstLine="640" w:firstLineChars="200"/>
        <w:rPr>
          <w:rFonts w:ascii="仿宋_GB2312" w:hAnsi="仿宋" w:eastAsia="仿宋_GB2312"/>
          <w:color w:val="000000" w:themeColor="text1"/>
          <w:kern w:val="0"/>
          <w:sz w:val="32"/>
          <w:szCs w:val="32"/>
        </w:rPr>
      </w:pPr>
      <w:r>
        <w:rPr>
          <w:rFonts w:hint="eastAsia" w:ascii="仿宋_GB2312" w:hAnsi="仿宋" w:eastAsia="仿宋_GB2312"/>
          <w:color w:val="000000" w:themeColor="text1"/>
          <w:kern w:val="0"/>
          <w:sz w:val="32"/>
          <w:szCs w:val="32"/>
        </w:rPr>
        <w:t>对接广西康养数据资源与管理体系，加快建设玉林</w:t>
      </w:r>
      <w:bookmarkStart w:id="76" w:name="_Hlk92538946"/>
      <w:r>
        <w:rPr>
          <w:rFonts w:hint="eastAsia" w:ascii="仿宋_GB2312" w:hAnsi="仿宋" w:eastAsia="仿宋_GB2312"/>
          <w:color w:val="000000" w:themeColor="text1"/>
          <w:kern w:val="0"/>
          <w:sz w:val="32"/>
          <w:szCs w:val="32"/>
        </w:rPr>
        <w:t>智慧康养大数据服务平台</w:t>
      </w:r>
      <w:bookmarkEnd w:id="76"/>
      <w:r>
        <w:rPr>
          <w:rFonts w:hint="eastAsia" w:ascii="仿宋_GB2312" w:hAnsi="仿宋" w:eastAsia="仿宋_GB2312"/>
          <w:color w:val="000000" w:themeColor="text1"/>
          <w:kern w:val="0"/>
          <w:sz w:val="32"/>
          <w:szCs w:val="32"/>
        </w:rPr>
        <w:t>，</w:t>
      </w:r>
      <w:r>
        <w:rPr>
          <w:rFonts w:hint="eastAsia" w:ascii="仿宋_GB2312" w:hAnsi="仿宋_GB2312" w:eastAsia="仿宋_GB2312" w:cs="仿宋_GB2312"/>
          <w:color w:val="000000" w:themeColor="text1"/>
          <w:sz w:val="32"/>
          <w:szCs w:val="32"/>
        </w:rPr>
        <w:t>发展集智能监管、智能管理、智能服务、安全防护、健康服务、情感关爱等为一体的智慧康养服务。</w:t>
      </w:r>
      <w:r>
        <w:rPr>
          <w:rFonts w:hint="eastAsia" w:ascii="仿宋_GB2312" w:hAnsi="仿宋" w:eastAsia="仿宋_GB2312"/>
          <w:color w:val="000000" w:themeColor="text1"/>
          <w:kern w:val="0"/>
          <w:sz w:val="32"/>
          <w:szCs w:val="32"/>
        </w:rPr>
        <w:t>鼓励和引导社会力量发展智慧养老服务，加强适老智能终端设备推广，鼓励微型传感设备融入生活用品、家用电器等产品，提升家庭康养智能化水平，创新居家养老场景应用。在全市智慧康养大数据服务平台中嵌入具备供需链接功能的居家养老服务信息系统，依托平台和智能终端设备，为居家老年人提供方便可及的助餐、助医、助洁、助急、助行、助乐等服务。对应广西智慧养老示范中心，实施玉林智慧养老机构创建工程，支持各类主体在玉林新建智慧养老机构，引导已投入运营的养老机构创建智慧养老机构，建成一家自治区级智慧养老院。扶持智慧养老产业发展，创建一批智慧健康养老应用示范，布局智慧健康养老应用软件、智能家电、高清摄像头和智能识别模组及智能终端设备等。</w:t>
      </w:r>
    </w:p>
    <w:p>
      <w:pPr>
        <w:pStyle w:val="6"/>
        <w:spacing w:before="0" w:after="0" w:line="600" w:lineRule="exact"/>
        <w:ind w:firstLine="643" w:firstLineChars="200"/>
        <w:rPr>
          <w:rFonts w:eastAsia="楷体_GB2312"/>
          <w:color w:val="000000" w:themeColor="text1"/>
        </w:rPr>
      </w:pPr>
      <w:bookmarkStart w:id="77" w:name="_Toc93410015"/>
      <w:r>
        <w:rPr>
          <w:rFonts w:hint="eastAsia" w:eastAsia="楷体_GB2312"/>
          <w:color w:val="000000" w:themeColor="text1"/>
        </w:rPr>
        <w:t>4</w:t>
      </w:r>
      <w:r>
        <w:rPr>
          <w:rFonts w:eastAsia="楷体_GB2312"/>
          <w:color w:val="000000" w:themeColor="text1"/>
        </w:rPr>
        <w:t>.</w:t>
      </w:r>
      <w:r>
        <w:rPr>
          <w:rFonts w:hint="eastAsia" w:eastAsia="楷体_GB2312"/>
          <w:color w:val="000000" w:themeColor="text1"/>
        </w:rPr>
        <w:t>推进智慧社区建设</w:t>
      </w:r>
      <w:bookmarkEnd w:id="77"/>
    </w:p>
    <w:p>
      <w:pPr>
        <w:spacing w:line="600" w:lineRule="exact"/>
        <w:ind w:firstLine="640" w:firstLineChars="200"/>
        <w:rPr>
          <w:rFonts w:ascii="仿宋_GB2312" w:hAnsi="仿宋" w:eastAsia="仿宋_GB2312"/>
          <w:color w:val="000000" w:themeColor="text1"/>
          <w:kern w:val="0"/>
          <w:sz w:val="32"/>
          <w:szCs w:val="32"/>
        </w:rPr>
      </w:pPr>
      <w:r>
        <w:rPr>
          <w:rFonts w:hint="eastAsia" w:ascii="仿宋_GB2312" w:hAnsi="仿宋" w:eastAsia="仿宋_GB2312"/>
          <w:color w:val="000000" w:themeColor="text1"/>
          <w:kern w:val="0"/>
          <w:sz w:val="32"/>
          <w:szCs w:val="32"/>
        </w:rPr>
        <w:t>完善智慧社区网络设施、硬件设施和便民服务终端建设，夯实智慧社区基础。</w:t>
      </w:r>
      <w:r>
        <w:rPr>
          <w:rFonts w:hint="eastAsia" w:ascii="仿宋_GB2312" w:hAnsi="仿宋_GB2312" w:eastAsia="仿宋_GB2312" w:cs="仿宋_GB2312"/>
          <w:color w:val="000000" w:themeColor="text1"/>
          <w:sz w:val="32"/>
          <w:szCs w:val="32"/>
        </w:rPr>
        <w:t>实施“互联网+基层治理”行动，建设覆盖城乡社区的综合信息平台，优化整合部署在不同层级、不同部门、分散孤立、用途单一的信息系统</w:t>
      </w:r>
      <w:r>
        <w:rPr>
          <w:rFonts w:hint="eastAsia" w:ascii="仿宋_GB2312" w:hAnsi="仿宋" w:eastAsia="仿宋_GB2312"/>
          <w:color w:val="000000" w:themeColor="text1"/>
          <w:kern w:val="0"/>
          <w:sz w:val="32"/>
          <w:szCs w:val="32"/>
        </w:rPr>
        <w:t>。加快社区服务综合信息系统建设，为社区政务服务、公共服务、商业服务提供统一应用和可扩展支撑，为市民提供实时在线的个性化服务。加强社区“块”数据共享应用以及与周边教育、医疗、养老等服务的融合对接，推动社区服务由供给导向转向群众需求导向，打造有玉林特色的“数智化”社区应用模式和场景。发展数字家庭，提供便捷高效的数字家庭服务，强化智能产品在新建及既有住宅、社区配套设施中的设置，建设数字家庭系统基础平台，加快完善数字家庭档案信息，面向空巢老人、留守儿童、贫困对象等特殊群体提供精准服务。</w:t>
      </w:r>
    </w:p>
    <w:p>
      <w:pPr>
        <w:pStyle w:val="6"/>
        <w:spacing w:before="0" w:after="0" w:line="600" w:lineRule="exact"/>
        <w:ind w:firstLine="643" w:firstLineChars="200"/>
        <w:rPr>
          <w:rFonts w:eastAsia="楷体_GB2312"/>
          <w:color w:val="000000" w:themeColor="text1"/>
        </w:rPr>
      </w:pPr>
      <w:bookmarkStart w:id="78" w:name="_Toc93410016"/>
      <w:r>
        <w:rPr>
          <w:rFonts w:hint="eastAsia" w:eastAsia="楷体_GB2312"/>
          <w:color w:val="000000" w:themeColor="text1"/>
        </w:rPr>
        <w:t>5</w:t>
      </w:r>
      <w:r>
        <w:rPr>
          <w:rFonts w:eastAsia="楷体_GB2312"/>
          <w:color w:val="000000" w:themeColor="text1"/>
        </w:rPr>
        <w:t>.</w:t>
      </w:r>
      <w:r>
        <w:rPr>
          <w:rFonts w:hint="eastAsia" w:eastAsia="楷体_GB2312"/>
          <w:color w:val="000000" w:themeColor="text1"/>
        </w:rPr>
        <w:t>推行数字社保服务</w:t>
      </w:r>
      <w:bookmarkEnd w:id="78"/>
    </w:p>
    <w:p>
      <w:pPr>
        <w:spacing w:line="600" w:lineRule="exact"/>
        <w:ind w:firstLine="640" w:firstLineChars="200"/>
        <w:rPr>
          <w:rFonts w:ascii="仿宋_GB2312" w:hAnsi="仿宋" w:eastAsia="仿宋_GB2312"/>
          <w:color w:val="000000" w:themeColor="text1"/>
          <w:kern w:val="0"/>
          <w:sz w:val="32"/>
          <w:szCs w:val="32"/>
        </w:rPr>
      </w:pPr>
      <w:r>
        <w:rPr>
          <w:rFonts w:hint="eastAsia" w:ascii="仿宋_GB2312" w:hAnsi="仿宋_GB2312" w:eastAsia="仿宋_GB2312" w:cs="仿宋_GB2312"/>
          <w:color w:val="000000" w:themeColor="text1"/>
          <w:sz w:val="32"/>
          <w:szCs w:val="32"/>
        </w:rPr>
        <w:t>对应广西社会保障卡“一卡通”推行，加快玉林</w:t>
      </w:r>
      <w:r>
        <w:rPr>
          <w:rFonts w:hint="eastAsia" w:ascii="仿宋_GB2312" w:hAnsi="仿宋" w:eastAsia="仿宋_GB2312"/>
          <w:color w:val="000000" w:themeColor="text1"/>
          <w:kern w:val="0"/>
          <w:sz w:val="32"/>
          <w:szCs w:val="32"/>
        </w:rPr>
        <w:t>社会保障卡发行推广及电子社保卡普及应用工作，以凭证用卡、待遇进卡、结算持卡、线上扫码为应用推进重点，拓展社保卡线上线下综合应用范围和深度。推进社保卡在一体化平台中的电子证照共享应用，融合社保卡线上线下应用，实现社保卡支撑相关业务在自治区内“一网通办”，提高群众办事便利度。推动更多人力资源和社会保障事项网上办理，实现相关业务“一网通办，一卡通行”。</w:t>
      </w:r>
      <w:r>
        <w:rPr>
          <w:rFonts w:hint="eastAsia" w:ascii="仿宋_GB2312" w:hAnsi="仿宋_GB2312" w:eastAsia="仿宋_GB2312" w:cs="仿宋_GB2312"/>
          <w:color w:val="000000" w:themeColor="text1"/>
          <w:sz w:val="32"/>
          <w:szCs w:val="32"/>
        </w:rPr>
        <w:t>统一玉林的人社业务、数据和接口标</w:t>
      </w:r>
      <w:r>
        <w:rPr>
          <w:rFonts w:hint="eastAsia" w:ascii="仿宋_GB2312" w:hAnsi="仿宋" w:eastAsia="仿宋_GB2312"/>
          <w:color w:val="000000" w:themeColor="text1"/>
          <w:kern w:val="0"/>
          <w:sz w:val="32"/>
          <w:szCs w:val="32"/>
        </w:rPr>
        <w:t>准，完善市级数据中心建设，构建全市统一、规范的人力资源和社会保障基础信息库。对接广西跨地区业务协同平台，统筹推进玉林业务经办、公共服务、监督管理、决策支持等应用系统建设和完善，促进业务与技术深度融合，推动形成跨地区、跨业务、跨领域、跨部门的信息共享和业务协同机制。</w:t>
      </w:r>
    </w:p>
    <w:p>
      <w:pPr>
        <w:pStyle w:val="6"/>
        <w:spacing w:before="0" w:after="0" w:line="600" w:lineRule="exact"/>
        <w:ind w:firstLine="643" w:firstLineChars="200"/>
        <w:rPr>
          <w:rFonts w:eastAsia="楷体_GB2312"/>
          <w:color w:val="000000" w:themeColor="text1"/>
        </w:rPr>
      </w:pPr>
      <w:bookmarkStart w:id="79" w:name="_Toc93410017"/>
      <w:r>
        <w:rPr>
          <w:rFonts w:eastAsia="楷体_GB2312"/>
          <w:color w:val="000000" w:themeColor="text1"/>
        </w:rPr>
        <w:t>6.</w:t>
      </w:r>
      <w:r>
        <w:rPr>
          <w:rFonts w:hint="eastAsia" w:eastAsia="楷体_GB2312"/>
          <w:color w:val="000000" w:themeColor="text1"/>
        </w:rPr>
        <w:t>推动智能交通试点</w:t>
      </w:r>
      <w:bookmarkEnd w:id="79"/>
    </w:p>
    <w:p>
      <w:pPr>
        <w:spacing w:line="600" w:lineRule="exact"/>
        <w:ind w:firstLine="640" w:firstLineChars="200"/>
        <w:rPr>
          <w:rFonts w:ascii="仿宋_GB2312" w:hAnsi="仿宋" w:eastAsia="仿宋_GB2312"/>
          <w:color w:val="000000" w:themeColor="text1"/>
          <w:kern w:val="0"/>
          <w:sz w:val="32"/>
          <w:szCs w:val="32"/>
        </w:rPr>
      </w:pPr>
      <w:r>
        <w:rPr>
          <w:rFonts w:hint="eastAsia" w:ascii="仿宋_GB2312" w:hAnsi="仿宋" w:eastAsia="仿宋_GB2312"/>
          <w:color w:val="000000" w:themeColor="text1"/>
          <w:kern w:val="0"/>
          <w:sz w:val="32"/>
          <w:szCs w:val="32"/>
        </w:rPr>
        <w:t>大力推进交通设施数字化改造，开展平安智慧高速公路建设和智慧普通公路建设试点，优化城市智慧停车服务，在全市加快推广智慧公交。对接“壮美广西·交通运输云”建设，构建</w:t>
      </w:r>
      <w:r>
        <w:rPr>
          <w:rFonts w:hint="eastAsia" w:ascii="仿宋_GB2312" w:hAnsi="仿宋_GB2312" w:eastAsia="仿宋_GB2312" w:cs="仿宋_GB2312"/>
          <w:color w:val="000000" w:themeColor="text1"/>
          <w:sz w:val="32"/>
          <w:szCs w:val="32"/>
        </w:rPr>
        <w:t>集约、高效的玉林交通运输数据资源中心，促进交通运输数据资源的交换与共享，</w:t>
      </w:r>
      <w:r>
        <w:rPr>
          <w:rFonts w:hint="eastAsia" w:ascii="仿宋_GB2312" w:hAnsi="仿宋" w:eastAsia="仿宋_GB2312"/>
          <w:color w:val="000000" w:themeColor="text1"/>
          <w:kern w:val="0"/>
          <w:sz w:val="32"/>
          <w:szCs w:val="32"/>
        </w:rPr>
        <w:t>实现数据驱动交通管理模式和服务模式的改变。依托大数据分析模型，提升交通综合指挥调度能力，探索建设重点区域“全息路网”。加快</w:t>
      </w:r>
      <w:r>
        <w:rPr>
          <w:rFonts w:hint="eastAsia" w:ascii="仿宋_GB2312" w:hAnsi="仿宋_GB2312" w:eastAsia="仿宋_GB2312" w:cs="仿宋_GB2312"/>
          <w:color w:val="000000" w:themeColor="text1"/>
          <w:sz w:val="32"/>
          <w:szCs w:val="32"/>
        </w:rPr>
        <w:t>推动“互联网+政务服务”，促进交通运输行业服务数据接入政务数据云平台，打造按需定制的“智慧交通政务服务”。</w:t>
      </w:r>
      <w:r>
        <w:rPr>
          <w:rFonts w:hint="eastAsia" w:ascii="仿宋_GB2312" w:hAnsi="仿宋" w:eastAsia="仿宋_GB2312"/>
          <w:color w:val="000000" w:themeColor="text1"/>
          <w:kern w:val="0"/>
          <w:sz w:val="32"/>
          <w:szCs w:val="32"/>
        </w:rPr>
        <w:t>充分发挥科技创新赋能作用，不断深化大数据智能化建设应用，增强安全形势精准研判、风险隐患精密防范、交通违法精确打击能力，提升执法规范化、服务智能化水平，为玉林交通治理现代化、交管服务便利化、交警队伍正规化提供有力支撑。大力推进智慧停车、智慧充电桩建设，打造玉林“充电一张网”，不断提升城市精细化管理水平。</w:t>
      </w:r>
    </w:p>
    <w:p>
      <w:pPr>
        <w:pStyle w:val="6"/>
        <w:spacing w:before="0" w:after="0" w:line="600" w:lineRule="exact"/>
        <w:ind w:firstLine="643" w:firstLineChars="200"/>
        <w:rPr>
          <w:rFonts w:eastAsia="楷体_GB2312"/>
          <w:color w:val="000000" w:themeColor="text1"/>
        </w:rPr>
      </w:pPr>
      <w:bookmarkStart w:id="80" w:name="_Toc93410018"/>
      <w:r>
        <w:rPr>
          <w:rFonts w:hint="eastAsia" w:eastAsia="楷体_GB2312"/>
          <w:color w:val="000000" w:themeColor="text1"/>
        </w:rPr>
        <w:t>7</w:t>
      </w:r>
      <w:r>
        <w:rPr>
          <w:rFonts w:eastAsia="楷体_GB2312"/>
          <w:color w:val="000000" w:themeColor="text1"/>
        </w:rPr>
        <w:t>.</w:t>
      </w:r>
      <w:r>
        <w:rPr>
          <w:rFonts w:hint="eastAsia" w:eastAsia="楷体_GB2312"/>
          <w:color w:val="000000" w:themeColor="text1"/>
        </w:rPr>
        <w:t>丰富数字文旅服务</w:t>
      </w:r>
      <w:bookmarkEnd w:id="80"/>
    </w:p>
    <w:p>
      <w:pPr>
        <w:spacing w:line="600" w:lineRule="exact"/>
        <w:ind w:firstLine="640" w:firstLineChars="200"/>
        <w:rPr>
          <w:color w:val="000000" w:themeColor="text1"/>
        </w:rPr>
      </w:pPr>
      <w:r>
        <w:rPr>
          <w:rFonts w:hint="eastAsia" w:ascii="仿宋_GB2312" w:hAnsi="仿宋" w:eastAsia="仿宋_GB2312"/>
          <w:color w:val="000000" w:themeColor="text1"/>
          <w:kern w:val="0"/>
          <w:sz w:val="32"/>
          <w:szCs w:val="32"/>
        </w:rPr>
        <w:t>对接自治区国家文化大数据体系建设，完善玉林市公共数字文化服务体系，优化城乡公共数字文化资源配置，实施公共文化场馆数字资源共享。实施全媒体传播工程，发挥县级融媒体中心特性，提升全民文化服务水平。对接“一键游广西”智慧旅游项目，推进“一键游玉林”</w:t>
      </w:r>
      <w:r>
        <w:rPr>
          <w:rFonts w:hint="eastAsia" w:ascii="仿宋_GB2312" w:eastAsia="仿宋_GB2312"/>
          <w:color w:val="000000" w:themeColor="text1"/>
          <w:sz w:val="32"/>
          <w:szCs w:val="32"/>
        </w:rPr>
        <w:t>平台建设，实现数据和资源的对接整合，建设玉林旅游服务资源池，生成“一键游玉林”等独立应用程序。</w:t>
      </w:r>
      <w:r>
        <w:rPr>
          <w:rFonts w:hint="eastAsia" w:ascii="仿宋_GB2312" w:hAnsi="仿宋" w:eastAsia="仿宋_GB2312"/>
          <w:color w:val="000000" w:themeColor="text1"/>
          <w:kern w:val="0"/>
          <w:sz w:val="32"/>
          <w:szCs w:val="32"/>
        </w:rPr>
        <w:t>对接广西智慧旅游公共服务体系，</w:t>
      </w:r>
      <w:r>
        <w:rPr>
          <w:rFonts w:hint="eastAsia" w:ascii="仿宋_GB2312" w:eastAsia="仿宋_GB2312"/>
          <w:color w:val="000000" w:themeColor="text1"/>
          <w:sz w:val="32"/>
          <w:szCs w:val="32"/>
        </w:rPr>
        <w:t>充分应</w:t>
      </w:r>
      <w:r>
        <w:rPr>
          <w:rFonts w:eastAsia="仿宋_GB2312"/>
          <w:color w:val="000000" w:themeColor="text1"/>
          <w:sz w:val="32"/>
          <w:szCs w:val="32"/>
        </w:rPr>
        <w:t>用5G、</w:t>
      </w:r>
      <w:r>
        <w:rPr>
          <w:rFonts w:hint="eastAsia" w:ascii="仿宋_GB2312" w:eastAsia="仿宋_GB2312"/>
          <w:color w:val="000000" w:themeColor="text1"/>
          <w:sz w:val="32"/>
          <w:szCs w:val="32"/>
        </w:rPr>
        <w:t>大数据、人工智能等先进技术，创新玉林各种公共服务，利用智慧营销平台，实现一键查询、一键订票、一键出行、一键救援、一键投诉、一键购物、一键云游等服务。鼓励各类文化场馆、创业园区研发“云展览”“云赏艺”“云文创”等具有行业特色、场馆特性的全景在线产品，打造沉浸式文旅服务互动体验，繁荣创新全市数字公共文化资源发展。</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000" w:type="pct"/>
            <w:tcBorders>
              <w:top w:val="single" w:color="auto" w:sz="4" w:space="0"/>
              <w:left w:val="single" w:color="auto" w:sz="4" w:space="0"/>
              <w:bottom w:val="single" w:color="auto" w:sz="4" w:space="0"/>
              <w:right w:val="single" w:color="auto" w:sz="4" w:space="0"/>
            </w:tcBorders>
          </w:tcPr>
          <w:p>
            <w:pPr>
              <w:pStyle w:val="33"/>
              <w:spacing w:before="0" w:after="0" w:line="600" w:lineRule="exact"/>
              <w:jc w:val="center"/>
              <w:rPr>
                <w:rFonts w:ascii="方正仿宋_GBK" w:hAnsi="仿宋" w:eastAsia="方正仿宋_GBK"/>
                <w:color w:val="000000" w:themeColor="text1"/>
                <w:sz w:val="32"/>
                <w:szCs w:val="32"/>
              </w:rPr>
            </w:pPr>
            <w:bookmarkStart w:id="81" w:name="_Hlk88767597"/>
            <w:r>
              <w:rPr>
                <w:rFonts w:hint="eastAsia" w:ascii="黑体" w:hAnsi="黑体" w:eastAsia="黑体"/>
                <w:color w:val="000000" w:themeColor="text1"/>
                <w:kern w:val="21"/>
                <w:sz w:val="30"/>
                <w:szCs w:val="30"/>
              </w:rPr>
              <w:t>专栏1</w:t>
            </w:r>
            <w:r>
              <w:rPr>
                <w:rFonts w:ascii="黑体" w:hAnsi="黑体" w:eastAsia="黑体"/>
                <w:color w:val="000000" w:themeColor="text1"/>
                <w:kern w:val="21"/>
                <w:sz w:val="30"/>
                <w:szCs w:val="30"/>
              </w:rPr>
              <w:t>5</w:t>
            </w:r>
            <w:r>
              <w:rPr>
                <w:rFonts w:hint="eastAsia" w:ascii="黑体" w:hAnsi="黑体" w:eastAsia="黑体"/>
                <w:color w:val="000000" w:themeColor="text1"/>
                <w:kern w:val="21"/>
                <w:sz w:val="30"/>
                <w:szCs w:val="30"/>
              </w:rPr>
              <w:t xml:space="preserve"> 智慧服务业态拓展重点工程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tcBorders>
              <w:top w:val="single" w:color="auto" w:sz="4" w:space="0"/>
              <w:left w:val="single" w:color="auto" w:sz="4" w:space="0"/>
              <w:bottom w:val="single" w:color="auto" w:sz="4" w:space="0"/>
              <w:right w:val="single" w:color="auto" w:sz="4" w:space="0"/>
            </w:tcBorders>
          </w:tcPr>
          <w:p>
            <w:pPr>
              <w:spacing w:line="520" w:lineRule="exact"/>
              <w:ind w:firstLine="562" w:firstLineChars="200"/>
              <w:rPr>
                <w:rFonts w:eastAsia="楷体_GB2312"/>
                <w:color w:val="000000" w:themeColor="text1"/>
                <w:kern w:val="0"/>
                <w:sz w:val="28"/>
                <w:szCs w:val="28"/>
              </w:rPr>
            </w:pPr>
            <w:r>
              <w:rPr>
                <w:rFonts w:eastAsia="楷体_GB2312"/>
                <w:b/>
                <w:bCs/>
                <w:color w:val="000000" w:themeColor="text1"/>
                <w:kern w:val="0"/>
                <w:sz w:val="28"/>
                <w:szCs w:val="28"/>
              </w:rPr>
              <w:t>社会福利院智慧养老项目建设</w:t>
            </w:r>
            <w:r>
              <w:rPr>
                <w:rFonts w:hint="eastAsia" w:eastAsia="楷体_GB2312"/>
                <w:b/>
                <w:bCs/>
                <w:color w:val="000000" w:themeColor="text1"/>
                <w:kern w:val="0"/>
                <w:sz w:val="28"/>
                <w:szCs w:val="28"/>
              </w:rPr>
              <w:t>：</w:t>
            </w:r>
            <w:r>
              <w:rPr>
                <w:rFonts w:eastAsia="楷体_GB2312"/>
                <w:color w:val="000000" w:themeColor="text1"/>
                <w:kern w:val="0"/>
                <w:sz w:val="28"/>
                <w:szCs w:val="28"/>
              </w:rPr>
              <w:t>建设包括智慧监管类、智慧管理类、安全防护类、智能护理类、健康服务类、情感关爱类六大板块。智慧监管类板块主要建设智慧大屏子系统、IOT设备对接子系统、慧康养平台对接子系统；智慧管理类板块主要建设人事管理子系统、统计分析子系统、机构管理子系统、来访接待管理子系统、评估管理子系统、长者档案子系统、费用管理子系统等；安全防护类板块主要建设来访接待管理子系统、IOT设备对接子系统、健康管理子系统等；智能护理类板块主要建设护理管理子系统、医护管理子系统、移动护理工作站、移动医生工作站、移动长者档案等PC端和移动端配套系统；健康服务类板块主要建设评估子系统、护理管理子系统；情感关爱类板块主要建设机构小程序系统。</w:t>
            </w:r>
          </w:p>
          <w:p>
            <w:pPr>
              <w:adjustRightInd w:val="0"/>
              <w:snapToGrid w:val="0"/>
              <w:spacing w:line="520" w:lineRule="exact"/>
              <w:ind w:firstLine="562" w:firstLineChars="200"/>
              <w:rPr>
                <w:rFonts w:eastAsia="楷体_GB2312"/>
                <w:color w:val="000000" w:themeColor="text1"/>
                <w:sz w:val="28"/>
                <w:szCs w:val="28"/>
              </w:rPr>
            </w:pPr>
            <w:r>
              <w:rPr>
                <w:rFonts w:ascii="楷体_GB2312" w:hAnsi="楷体_GB2312" w:eastAsia="楷体_GB2312"/>
                <w:b/>
                <w:bCs/>
                <w:color w:val="000000" w:themeColor="text1"/>
                <w:sz w:val="28"/>
                <w:szCs w:val="28"/>
              </w:rPr>
              <w:t>“互联网+基层治理”行动</w:t>
            </w:r>
            <w:r>
              <w:rPr>
                <w:rFonts w:hint="eastAsia" w:ascii="楷体_GB2312" w:hAnsi="楷体_GB2312" w:eastAsia="楷体_GB2312"/>
                <w:b/>
                <w:bCs/>
                <w:color w:val="000000" w:themeColor="text1"/>
                <w:sz w:val="28"/>
                <w:szCs w:val="28"/>
              </w:rPr>
              <w:t>：</w:t>
            </w:r>
            <w:r>
              <w:rPr>
                <w:rFonts w:eastAsia="楷体_GB2312"/>
                <w:color w:val="000000" w:themeColor="text1"/>
                <w:sz w:val="28"/>
                <w:szCs w:val="28"/>
              </w:rPr>
              <w:t>综合利用乡镇（街道）、村（社区）地理信息、人口、资源环境、社会经济、民生保障等数据资源，共建基层治理数据库，实行村（社区）数据一次性采集、多方利用，推动基层治理数据资源共享，根据需要向基层开放使用。加快全区一体化政务服务平台建设，推动各地政务服务平台向乡镇（街道）延伸，实现政务通用自助服务一体机城乡社区全覆盖。建设开发智慧社区信息系统和简便应用软件，提升政策宣传、民情沟通、便民服务效能。</w:t>
            </w:r>
          </w:p>
          <w:p>
            <w:pPr>
              <w:spacing w:line="520" w:lineRule="exact"/>
              <w:ind w:firstLine="562" w:firstLineChars="200"/>
              <w:rPr>
                <w:rFonts w:eastAsia="楷体_GB2312"/>
                <w:color w:val="000000" w:themeColor="text1"/>
                <w:sz w:val="28"/>
                <w:szCs w:val="28"/>
              </w:rPr>
            </w:pPr>
            <w:r>
              <w:rPr>
                <w:rFonts w:eastAsia="楷体_GB2312"/>
                <w:b/>
                <w:bCs/>
                <w:color w:val="000000" w:themeColor="text1"/>
                <w:sz w:val="28"/>
                <w:szCs w:val="28"/>
              </w:rPr>
              <w:t>智慧社区试点建设</w:t>
            </w:r>
            <w:r>
              <w:rPr>
                <w:rFonts w:hint="eastAsia" w:eastAsia="楷体_GB2312"/>
                <w:b/>
                <w:bCs/>
                <w:color w:val="000000" w:themeColor="text1"/>
                <w:sz w:val="28"/>
                <w:szCs w:val="28"/>
              </w:rPr>
              <w:t>：</w:t>
            </w:r>
            <w:r>
              <w:rPr>
                <w:rFonts w:eastAsia="楷体_GB2312"/>
                <w:color w:val="000000" w:themeColor="text1"/>
                <w:sz w:val="28"/>
                <w:szCs w:val="28"/>
              </w:rPr>
              <w:t>逐步扩大智慧社区建设试点范围，运用数字技术改造社区设施、环境和文化，构建融空间、情感、价值于一体的智慧社区场景，提升社区生活品质和发展机遇。</w:t>
            </w:r>
          </w:p>
          <w:p>
            <w:pPr>
              <w:keepNext/>
              <w:spacing w:line="520" w:lineRule="exact"/>
              <w:ind w:firstLine="562" w:firstLineChars="200"/>
              <w:rPr>
                <w:rFonts w:eastAsia="楷体_GB2312"/>
                <w:color w:val="000000" w:themeColor="text1"/>
                <w:kern w:val="0"/>
                <w:sz w:val="28"/>
                <w:szCs w:val="28"/>
              </w:rPr>
            </w:pPr>
            <w:r>
              <w:rPr>
                <w:rFonts w:eastAsia="楷体_GB2312"/>
                <w:b/>
                <w:bCs/>
                <w:color w:val="000000" w:themeColor="text1"/>
                <w:kern w:val="0"/>
                <w:sz w:val="28"/>
                <w:szCs w:val="28"/>
              </w:rPr>
              <w:t>全民健康信息平台</w:t>
            </w:r>
            <w:r>
              <w:rPr>
                <w:rFonts w:hint="eastAsia" w:eastAsia="楷体_GB2312"/>
                <w:b/>
                <w:bCs/>
                <w:color w:val="000000" w:themeColor="text1"/>
                <w:kern w:val="0"/>
                <w:sz w:val="28"/>
                <w:szCs w:val="28"/>
              </w:rPr>
              <w:t>：</w:t>
            </w:r>
            <w:r>
              <w:rPr>
                <w:rFonts w:eastAsia="楷体_GB2312"/>
                <w:color w:val="000000" w:themeColor="text1"/>
                <w:kern w:val="0"/>
                <w:sz w:val="28"/>
                <w:szCs w:val="28"/>
              </w:rPr>
              <w:t>完善全民健康信息平台，优化与自治区级数据共享交换平台的对接联通，强化人口、公共卫生、医疗服务、医疗保障、药品供应、综合管理等数据采集，畅通部门、区域、行业之间的数据共享通道，促进全民健康信息共享应用。促进医疗服务与健康管理信息数据在各级各类医疗卫生机构及管理部门之间的联通共享和业务协同。</w:t>
            </w:r>
          </w:p>
          <w:p>
            <w:pPr>
              <w:adjustRightInd w:val="0"/>
              <w:snapToGrid w:val="0"/>
              <w:spacing w:line="520" w:lineRule="exact"/>
              <w:ind w:firstLine="562" w:firstLineChars="200"/>
              <w:rPr>
                <w:rFonts w:eastAsia="楷体_GB2312"/>
                <w:color w:val="000000" w:themeColor="text1"/>
                <w:kern w:val="0"/>
                <w:sz w:val="28"/>
                <w:szCs w:val="28"/>
              </w:rPr>
            </w:pPr>
            <w:r>
              <w:rPr>
                <w:rFonts w:eastAsia="楷体_GB2312"/>
                <w:b/>
                <w:bCs/>
                <w:color w:val="000000" w:themeColor="text1"/>
                <w:kern w:val="0"/>
                <w:sz w:val="28"/>
                <w:szCs w:val="28"/>
              </w:rPr>
              <w:t>卫生指挥调度信息平台</w:t>
            </w:r>
            <w:r>
              <w:rPr>
                <w:rFonts w:hint="eastAsia" w:eastAsia="楷体_GB2312"/>
                <w:b/>
                <w:bCs/>
                <w:color w:val="000000" w:themeColor="text1"/>
                <w:kern w:val="0"/>
                <w:sz w:val="28"/>
                <w:szCs w:val="28"/>
              </w:rPr>
              <w:t>：</w:t>
            </w:r>
            <w:r>
              <w:rPr>
                <w:rFonts w:eastAsia="楷体_GB2312"/>
                <w:color w:val="000000" w:themeColor="text1"/>
                <w:kern w:val="0"/>
                <w:sz w:val="28"/>
                <w:szCs w:val="28"/>
              </w:rPr>
              <w:t>谋划建设市突发公共卫生事件指挥信息系统，提高传染病智能监测能力，实现传染病信息分析研判快速、高效、准确，突发公共卫生事件处置信息畅通、反应快捷、指挥有力。谋划建设急救医疗服务信息指挥系统，设置心脑血管、肝脏等疾病监测中心，对重点人群实时动态监测，在景区景点、人员密集公共场所设置急救站点或配备自动体外除颤器（AED）等，加强有关人员急救技能培训，提高全市整体现场急救能力。</w:t>
            </w:r>
          </w:p>
          <w:p>
            <w:pPr>
              <w:adjustRightInd w:val="0"/>
              <w:snapToGrid w:val="0"/>
              <w:spacing w:line="520" w:lineRule="exact"/>
              <w:ind w:firstLine="562" w:firstLineChars="200"/>
              <w:rPr>
                <w:rFonts w:eastAsia="楷体_GB2312"/>
                <w:b/>
                <w:bCs/>
                <w:color w:val="000000" w:themeColor="text1"/>
                <w:kern w:val="0"/>
                <w:sz w:val="28"/>
                <w:szCs w:val="28"/>
              </w:rPr>
            </w:pPr>
            <w:r>
              <w:rPr>
                <w:rFonts w:hint="eastAsia" w:eastAsia="楷体_GB2312"/>
                <w:b/>
                <w:bCs/>
                <w:color w:val="000000" w:themeColor="text1"/>
                <w:kern w:val="0"/>
                <w:sz w:val="28"/>
                <w:szCs w:val="28"/>
              </w:rPr>
              <w:t>智慧交通</w:t>
            </w:r>
            <w:r>
              <w:rPr>
                <w:rFonts w:eastAsia="楷体_GB2312"/>
                <w:b/>
                <w:bCs/>
                <w:color w:val="000000" w:themeColor="text1"/>
                <w:kern w:val="0"/>
                <w:sz w:val="28"/>
                <w:szCs w:val="28"/>
              </w:rPr>
              <w:t>三大应用系统建设</w:t>
            </w:r>
            <w:r>
              <w:rPr>
                <w:rFonts w:hint="eastAsia" w:eastAsia="楷体_GB2312"/>
                <w:b/>
                <w:bCs/>
                <w:color w:val="000000" w:themeColor="text1"/>
                <w:kern w:val="0"/>
                <w:sz w:val="28"/>
                <w:szCs w:val="28"/>
              </w:rPr>
              <w:t>：</w:t>
            </w:r>
            <w:r>
              <w:rPr>
                <w:rFonts w:eastAsia="楷体_GB2312"/>
                <w:color w:val="000000" w:themeColor="text1"/>
                <w:kern w:val="0"/>
                <w:sz w:val="28"/>
                <w:szCs w:val="28"/>
              </w:rPr>
              <w:t>建设综合交通</w:t>
            </w:r>
            <w:r>
              <w:rPr>
                <w:rFonts w:ascii="楷体_GB2312" w:hAnsi="楷体_GB2312" w:eastAsia="楷体_GB2312"/>
                <w:color w:val="000000" w:themeColor="text1"/>
                <w:kern w:val="0"/>
                <w:sz w:val="28"/>
                <w:szCs w:val="28"/>
              </w:rPr>
              <w:t>“一张图”</w:t>
            </w:r>
            <w:r>
              <w:rPr>
                <w:rFonts w:eastAsia="楷体_GB2312"/>
                <w:color w:val="000000" w:themeColor="text1"/>
                <w:kern w:val="0"/>
                <w:sz w:val="28"/>
                <w:szCs w:val="28"/>
              </w:rPr>
              <w:t>运行监测应用系统。通过建立交通运输重点建设项目动态管理、综合交通执法管理等管理系统，让交通运输从业人员实现桌面数字综合交通枢纽管理。建设交通运行综合监控大屏可视化分析系统。对全市交通基础设施数据、运行监测数据，根据业务特点进行多维度统计分析，直观、动态、及时监控全市交通运行状况</w:t>
            </w:r>
            <w:r>
              <w:rPr>
                <w:rFonts w:hint="eastAsia" w:eastAsia="楷体_GB2312"/>
                <w:color w:val="000000" w:themeColor="text1"/>
                <w:kern w:val="0"/>
                <w:sz w:val="28"/>
                <w:szCs w:val="28"/>
              </w:rPr>
              <w:t>；</w:t>
            </w:r>
            <w:r>
              <w:rPr>
                <w:rFonts w:eastAsia="楷体_GB2312"/>
                <w:color w:val="000000" w:themeColor="text1"/>
                <w:kern w:val="0"/>
                <w:sz w:val="28"/>
                <w:szCs w:val="28"/>
              </w:rPr>
              <w:t>结合视频、GIS技术，为节假日、重大事件交通协调指挥提供支持。建设交通运输审批业务审批一体化系统。结合市电子政务平台与TOCC系统数据通道，全面梳理交通运输行政权力事项和公共服务事项，形成业务体系清单、权责事项统计清单、业务关系图、业务概要图。整合优化业务流程，实现业务人员、业务权限、业务类型、业务关系和业务流程信息化，</w:t>
            </w:r>
            <w:r>
              <w:rPr>
                <w:rFonts w:hint="eastAsia" w:eastAsia="楷体_GB2312"/>
                <w:color w:val="000000" w:themeColor="text1"/>
                <w:kern w:val="0"/>
                <w:sz w:val="28"/>
                <w:szCs w:val="28"/>
              </w:rPr>
              <w:t>推动</w:t>
            </w:r>
            <w:r>
              <w:rPr>
                <w:rFonts w:eastAsia="楷体_GB2312"/>
                <w:color w:val="000000" w:themeColor="text1"/>
                <w:kern w:val="0"/>
                <w:sz w:val="28"/>
                <w:szCs w:val="28"/>
              </w:rPr>
              <w:t>业务办理向标准规范及无纸化转变。</w:t>
            </w:r>
          </w:p>
          <w:p>
            <w:pPr>
              <w:adjustRightInd w:val="0"/>
              <w:snapToGrid w:val="0"/>
              <w:spacing w:line="520" w:lineRule="exact"/>
              <w:ind w:firstLine="562" w:firstLineChars="200"/>
              <w:rPr>
                <w:rFonts w:eastAsia="楷体_GB2312"/>
                <w:color w:val="000000" w:themeColor="text1"/>
                <w:kern w:val="0"/>
                <w:sz w:val="28"/>
                <w:szCs w:val="28"/>
              </w:rPr>
            </w:pPr>
            <w:r>
              <w:rPr>
                <w:rFonts w:eastAsia="楷体_GB2312"/>
                <w:b/>
                <w:bCs/>
                <w:color w:val="000000" w:themeColor="text1"/>
                <w:kern w:val="0"/>
                <w:sz w:val="28"/>
                <w:szCs w:val="28"/>
              </w:rPr>
              <w:t>交通数据中心建设</w:t>
            </w:r>
            <w:r>
              <w:rPr>
                <w:rFonts w:hint="eastAsia" w:eastAsia="楷体_GB2312"/>
                <w:b/>
                <w:bCs/>
                <w:color w:val="000000" w:themeColor="text1"/>
                <w:kern w:val="0"/>
                <w:sz w:val="28"/>
                <w:szCs w:val="28"/>
              </w:rPr>
              <w:t>：</w:t>
            </w:r>
            <w:r>
              <w:rPr>
                <w:rFonts w:eastAsia="楷体_GB2312"/>
                <w:color w:val="000000" w:themeColor="text1"/>
                <w:kern w:val="0"/>
                <w:sz w:val="28"/>
                <w:szCs w:val="28"/>
              </w:rPr>
              <w:t>交通数据中心为本项目应用系统的运行载体，可实现与区交通运输厅、市大数据发展和政务服务局等相关单位跨区域、跨部门的协调联动和信息共享，确保数据资源的权威性、连贯性、及时性、准确性和完整性。</w:t>
            </w:r>
          </w:p>
          <w:p>
            <w:pPr>
              <w:adjustRightInd w:val="0"/>
              <w:snapToGrid w:val="0"/>
              <w:spacing w:line="520" w:lineRule="exact"/>
              <w:ind w:firstLine="562" w:firstLineChars="200"/>
              <w:rPr>
                <w:rFonts w:eastAsia="楷体_GB2312"/>
                <w:color w:val="000000" w:themeColor="text1"/>
                <w:kern w:val="0"/>
                <w:sz w:val="28"/>
                <w:szCs w:val="28"/>
              </w:rPr>
            </w:pPr>
            <w:r>
              <w:rPr>
                <w:rFonts w:hint="eastAsia" w:eastAsia="楷体_GB2312"/>
                <w:b/>
                <w:bCs/>
                <w:color w:val="000000" w:themeColor="text1"/>
                <w:kern w:val="0"/>
                <w:sz w:val="28"/>
                <w:szCs w:val="28"/>
              </w:rPr>
              <w:t>公共交通</w:t>
            </w:r>
            <w:r>
              <w:rPr>
                <w:rFonts w:eastAsia="楷体_GB2312"/>
                <w:b/>
                <w:bCs/>
                <w:color w:val="000000" w:themeColor="text1"/>
                <w:kern w:val="0"/>
                <w:sz w:val="28"/>
                <w:szCs w:val="28"/>
              </w:rPr>
              <w:t>运行环境建设</w:t>
            </w:r>
            <w:r>
              <w:rPr>
                <w:rFonts w:hint="eastAsia" w:eastAsia="楷体_GB2312"/>
                <w:b/>
                <w:bCs/>
                <w:color w:val="000000" w:themeColor="text1"/>
                <w:kern w:val="0"/>
                <w:sz w:val="28"/>
                <w:szCs w:val="28"/>
              </w:rPr>
              <w:t>：</w:t>
            </w:r>
            <w:r>
              <w:rPr>
                <w:rFonts w:eastAsia="楷体_GB2312"/>
                <w:color w:val="000000" w:themeColor="text1"/>
                <w:kern w:val="0"/>
                <w:sz w:val="28"/>
                <w:szCs w:val="28"/>
              </w:rPr>
              <w:t>运行环境建设包括计算资源、存储资源、网络资源及电子大屏幕的建设。目前电子大屏幕已建设完成。本项目系统服务器端的计算资源、存储资源、网络资源利用玉林市政务云资源。通过设置前置机、租用VPN网络实现与公共汽车、出租车、网约车、农村客运、“两客一危”、源头等平台企业的连接。</w:t>
            </w:r>
          </w:p>
          <w:p>
            <w:pPr>
              <w:pStyle w:val="12"/>
              <w:spacing w:after="0" w:line="520" w:lineRule="exact"/>
              <w:ind w:left="0" w:leftChars="0" w:firstLine="562" w:firstLineChars="200"/>
              <w:rPr>
                <w:rFonts w:ascii="方正仿宋_GBK" w:hAnsi="仿宋" w:eastAsia="方正仿宋_GBK"/>
                <w:color w:val="000000" w:themeColor="text1"/>
                <w:kern w:val="0"/>
                <w:sz w:val="32"/>
                <w:szCs w:val="32"/>
              </w:rPr>
            </w:pPr>
            <w:r>
              <w:rPr>
                <w:rFonts w:ascii="楷体_GB2312" w:hAnsi="楷体_GB2312" w:eastAsia="楷体_GB2312"/>
                <w:b/>
                <w:bCs/>
                <w:color w:val="000000" w:themeColor="text1"/>
                <w:kern w:val="0"/>
                <w:sz w:val="28"/>
                <w:szCs w:val="28"/>
              </w:rPr>
              <w:t>“一键游玉林”平台建设</w:t>
            </w:r>
            <w:r>
              <w:rPr>
                <w:rFonts w:hint="eastAsia" w:ascii="楷体_GB2312" w:hAnsi="楷体_GB2312" w:eastAsia="楷体_GB2312"/>
                <w:b/>
                <w:bCs/>
                <w:color w:val="000000" w:themeColor="text1"/>
                <w:kern w:val="0"/>
                <w:sz w:val="28"/>
                <w:szCs w:val="28"/>
              </w:rPr>
              <w:t>：</w:t>
            </w:r>
            <w:r>
              <w:rPr>
                <w:rFonts w:ascii="楷体_GB2312" w:hAnsi="楷体_GB2312" w:eastAsia="楷体_GB2312"/>
                <w:color w:val="000000" w:themeColor="text1"/>
                <w:kern w:val="0"/>
                <w:sz w:val="28"/>
                <w:szCs w:val="28"/>
              </w:rPr>
              <w:t>依托“一键游广西”平台，结合实际，量身打造“一键游玉林”项目，力争把“一键游玉林”率先打造成“一键游广西”</w:t>
            </w:r>
            <w:r>
              <w:rPr>
                <w:rFonts w:eastAsia="楷体_GB2312"/>
                <w:color w:val="000000" w:themeColor="text1"/>
                <w:kern w:val="0"/>
                <w:sz w:val="28"/>
                <w:szCs w:val="28"/>
              </w:rPr>
              <w:t>项目的标杆典范。将原有市、县两级智慧旅游平台及大数据平台的资源、数据等</w:t>
            </w:r>
            <w:r>
              <w:rPr>
                <w:rFonts w:ascii="楷体_GB2312" w:hAnsi="楷体_GB2312" w:eastAsia="楷体_GB2312"/>
                <w:color w:val="000000" w:themeColor="text1"/>
                <w:kern w:val="0"/>
                <w:sz w:val="28"/>
                <w:szCs w:val="28"/>
              </w:rPr>
              <w:t>与“一键游广西”平台实现对接整合，建设玉林旅游服务资源池，生成“一键游玉林”等独立应用程</w:t>
            </w:r>
            <w:r>
              <w:rPr>
                <w:rFonts w:eastAsia="楷体_GB2312"/>
                <w:color w:val="000000" w:themeColor="text1"/>
                <w:kern w:val="0"/>
                <w:sz w:val="28"/>
                <w:szCs w:val="28"/>
              </w:rPr>
              <w:t>序。充分应用5G、大数据、人工智能等先进技术，创新各种公共服务；利用智慧营销平台，实现一键查询、一键订票、一键出行、一键救援、一键投诉、一键购物、一键云游等服务。利用好智慧营销平台中的网站、小程序、APP等客户端应用，推介更丰富，个性化、多样化水平更高的线上线下旅游产品和服务，做好旅游宣传推介活动。</w:t>
            </w:r>
          </w:p>
        </w:tc>
      </w:tr>
      <w:bookmarkEnd w:id="81"/>
    </w:tbl>
    <w:p>
      <w:pPr>
        <w:pStyle w:val="5"/>
        <w:keepNext w:val="0"/>
        <w:keepLines w:val="0"/>
        <w:adjustRightInd w:val="0"/>
        <w:snapToGrid w:val="0"/>
        <w:spacing w:before="0" w:after="0" w:line="600" w:lineRule="exact"/>
        <w:ind w:firstLine="643"/>
        <w:jc w:val="both"/>
        <w:rPr>
          <w:rFonts w:ascii="楷体_GB2312" w:hAnsi="楷体_GB2312" w:cs="方正楷体_GBK"/>
          <w:bCs w:val="0"/>
          <w:color w:val="000000" w:themeColor="text1"/>
          <w:kern w:val="21"/>
        </w:rPr>
      </w:pPr>
      <w:bookmarkStart w:id="82" w:name="_Toc93410019"/>
      <w:r>
        <w:rPr>
          <w:rFonts w:hint="eastAsia" w:ascii="楷体_GB2312" w:hAnsi="楷体_GB2312" w:cs="方正楷体_GBK"/>
          <w:bCs w:val="0"/>
          <w:color w:val="000000" w:themeColor="text1"/>
          <w:kern w:val="21"/>
        </w:rPr>
        <w:t>（七）奋力做强城镇做美乡村，持续建设新型智慧城乡</w:t>
      </w:r>
      <w:bookmarkEnd w:id="82"/>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顺应城市发展新理念新趋势，着力在完善功能、资源共享等方面下功夫，加速构建优势互补、良性互动的城乡发展新模式，基于新兴数字技术建设宜居、创新、智慧、绿色、人文、韧性城市，构建数字化、精细化、动态化城市管理网络系统；</w:t>
      </w:r>
      <w:r>
        <w:rPr>
          <w:rFonts w:eastAsia="仿宋_GB2312"/>
          <w:color w:val="000000" w:themeColor="text1"/>
          <w:sz w:val="32"/>
          <w:szCs w:val="32"/>
        </w:rPr>
        <w:t>深入实施宽带乡村工程，</w:t>
      </w:r>
      <w:r>
        <w:rPr>
          <w:rFonts w:hint="eastAsia" w:eastAsia="仿宋_GB2312"/>
          <w:color w:val="000000" w:themeColor="text1"/>
          <w:sz w:val="32"/>
          <w:szCs w:val="32"/>
        </w:rPr>
        <w:t>推动面向农村地区的数字基础设施扩面提质，广泛应用数字技术赋能乡村振兴。</w:t>
      </w:r>
    </w:p>
    <w:p>
      <w:pPr>
        <w:pStyle w:val="6"/>
        <w:spacing w:before="0" w:after="0" w:line="600" w:lineRule="exact"/>
        <w:ind w:firstLine="643" w:firstLineChars="200"/>
        <w:rPr>
          <w:rFonts w:eastAsia="楷体_GB2312"/>
          <w:color w:val="000000" w:themeColor="text1"/>
        </w:rPr>
      </w:pPr>
      <w:bookmarkStart w:id="83" w:name="_Toc93410020"/>
      <w:r>
        <w:rPr>
          <w:rFonts w:hint="eastAsia" w:eastAsia="楷体_GB2312"/>
          <w:color w:val="000000" w:themeColor="text1"/>
        </w:rPr>
        <w:t>1.推进新型智慧城市建设</w:t>
      </w:r>
      <w:bookmarkEnd w:id="83"/>
    </w:p>
    <w:p>
      <w:pPr>
        <w:spacing w:line="600" w:lineRule="exact"/>
        <w:ind w:firstLine="640" w:firstLineChars="200"/>
        <w:rPr>
          <w:rFonts w:ascii="仿宋_GB2312" w:hAnsi="仿宋" w:eastAsia="仿宋_GB2312"/>
          <w:color w:val="000000" w:themeColor="text1"/>
          <w:kern w:val="0"/>
          <w:sz w:val="32"/>
          <w:szCs w:val="32"/>
        </w:rPr>
      </w:pPr>
      <w:r>
        <w:rPr>
          <w:rFonts w:hint="eastAsia" w:ascii="仿宋_GB2312" w:hAnsi="仿宋" w:eastAsia="仿宋_GB2312"/>
          <w:color w:val="000000" w:themeColor="text1"/>
          <w:kern w:val="0"/>
          <w:sz w:val="32"/>
          <w:szCs w:val="32"/>
        </w:rPr>
        <w:t>依托政务云和电子政务外网资源，按照因地制宜、统筹规划、集约高效的原则，以需求为导向，充分利用现有的城市管理信息化基础设施，融汇整合各类城市管理数据，向上对接广西壮族自治区智慧城管平台，向下联通区县城管平台，实现国家级-自治区级-市本级-县（市）区级数据互联互通，搭建物理分散、逻辑集中、资源共享的城市综合管理服务平台。完善玉林城市管理事部件和单元网格数据，整合市政设施、市容环卫、园林绿化、城管执法等城市管理专项数据，依托“城市大脑”，推动城市管理多源大数据汇聚整合和应用的融合提升，实现城市管理数字化转型与数字孪生感知端建设的双向促进。加强物联网、云计算、大数据、人工智能、区块链等技术应用，对数字城管的监督指挥、考核评价、公众服务等功能进行智慧化升级改造，实现街面秩序智能巡查、城市部件智能监测、案件线索智能调度、执法过程智能辅助、应急事件智能处置等。优化升级便民惠民服务系统，畅通广大居民参与城市管理渠道。</w:t>
      </w:r>
    </w:p>
    <w:p>
      <w:pPr>
        <w:pStyle w:val="6"/>
        <w:spacing w:before="0" w:after="0" w:line="600" w:lineRule="exact"/>
        <w:ind w:firstLine="640" w:firstLineChars="200"/>
        <w:rPr>
          <w:rFonts w:eastAsia="方正楷体_GBK"/>
        </w:rPr>
      </w:pPr>
      <w:bookmarkStart w:id="84" w:name="_Toc93399083"/>
      <w:bookmarkStart w:id="85" w:name="_Toc93410021"/>
      <w:r>
        <w:rPr>
          <w:rFonts w:hint="eastAsia" w:eastAsia="方正楷体_GBK"/>
        </w:rPr>
        <w:t>2.助力实施乡村振兴战略</w:t>
      </w:r>
      <w:bookmarkEnd w:id="84"/>
      <w:bookmarkEnd w:id="85"/>
    </w:p>
    <w:p>
      <w:pPr>
        <w:spacing w:line="600" w:lineRule="exact"/>
        <w:ind w:firstLine="643" w:firstLineChars="200"/>
        <w:rPr>
          <w:rFonts w:ascii="仿宋_GB2312" w:eastAsia="仿宋_GB2312"/>
          <w:kern w:val="21"/>
          <w:sz w:val="32"/>
          <w:szCs w:val="32"/>
        </w:rPr>
      </w:pPr>
      <w:r>
        <w:rPr>
          <w:rFonts w:hint="eastAsia" w:ascii="楷体_GB2312" w:hAnsi="楷体_GB2312" w:eastAsia="楷体_GB2312"/>
          <w:b/>
          <w:sz w:val="32"/>
          <w:szCs w:val="32"/>
        </w:rPr>
        <w:t>运用数字技术提升乡村服务和治理水平。</w:t>
      </w:r>
      <w:r>
        <w:rPr>
          <w:rFonts w:hint="eastAsia" w:ascii="仿宋_GB2312" w:eastAsia="仿宋_GB2312"/>
          <w:kern w:val="21"/>
          <w:sz w:val="32"/>
          <w:szCs w:val="32"/>
        </w:rPr>
        <w:t>依托城市大脑、网上政务服务大厅、大数据中心等平台，加快搭建覆盖县、乡镇、村(经营主体)的乡村智慧网，全面对接和融入广西乡村智慧网。鼓励有条件的乡村发展“智慧+”旅游、教育、医疗、康养、水利、交通等公共服务，引导城市的高水平服务机构积极对接乡村、走近农民，鼓励乡村教育、医疗等线上线下融合发展，让城市优质服务资源在更大范围上辐射农村地区。推进农村公共服务体系数字化改造，强化涉农服务数据的采集共享和开发应用。充分发挥网络的平台作用，引导留守村民、外出务工人员、入乡创业人员等群体参与基层治理，在共商共建中促进共同富裕。</w:t>
      </w:r>
    </w:p>
    <w:p>
      <w:pPr>
        <w:spacing w:line="600" w:lineRule="exact"/>
        <w:ind w:firstLine="643" w:firstLineChars="200"/>
        <w:rPr>
          <w:rFonts w:ascii="仿宋_GB2312" w:eastAsia="仿宋_GB2312"/>
          <w:kern w:val="21"/>
          <w:sz w:val="32"/>
          <w:szCs w:val="32"/>
        </w:rPr>
      </w:pPr>
      <w:r>
        <w:rPr>
          <w:rFonts w:hint="eastAsia" w:ascii="楷体_GB2312" w:hAnsi="楷体_GB2312" w:eastAsia="楷体_GB2312"/>
          <w:b/>
          <w:sz w:val="32"/>
          <w:szCs w:val="32"/>
        </w:rPr>
        <w:t>推动数字技术与乡村经济深度融合发展</w:t>
      </w:r>
      <w:r>
        <w:rPr>
          <w:rFonts w:hint="eastAsia" w:ascii="仿宋_GB2312" w:eastAsia="仿宋_GB2312"/>
          <w:kern w:val="21"/>
          <w:sz w:val="32"/>
          <w:szCs w:val="32"/>
        </w:rPr>
        <w:t>。实施电子商务进农村综合示范工程，推动电商与地方优势产业有机结合，建立健全农村电商可持续的市场化运营机制，促进农村流通现代化。培育发展订单农业、数字田园、线上云游、创意农业、网络认养农业、智慧农业等新业态，大力发展乡村智慧旅游、创意民宿等新产业，推进闲置分散的农机、劳动力、农技服务、土地和物流等动态分享。支持建设自治区级数字化现代特色农业示范村、农村电子商务示范村，玉林乡村振兴直播电商中心。</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 w:type="dxa"/>
          <w:left w:w="11" w:type="dxa"/>
          <w:bottom w:w="11" w:type="dxa"/>
          <w:right w:w="11" w:type="dxa"/>
        </w:tblCellMar>
      </w:tblPr>
      <w:tblGrid>
        <w:gridCol w:w="8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1" w:type="dxa"/>
            <w:bottom w:w="11" w:type="dxa"/>
            <w:right w:w="11" w:type="dxa"/>
          </w:tblCellMar>
        </w:tblPrEx>
        <w:trPr>
          <w:trHeight w:val="454" w:hRule="atLeast"/>
          <w:jc w:val="center"/>
        </w:trPr>
        <w:tc>
          <w:tcPr>
            <w:tcW w:w="5000" w:type="pct"/>
          </w:tcPr>
          <w:p>
            <w:pPr>
              <w:pStyle w:val="33"/>
              <w:spacing w:before="0" w:after="0" w:line="600" w:lineRule="exact"/>
              <w:jc w:val="center"/>
              <w:rPr>
                <w:rFonts w:ascii="黑体" w:hAnsi="黑体" w:eastAsia="黑体"/>
                <w:color w:val="000000" w:themeColor="text1"/>
                <w:kern w:val="21"/>
                <w:sz w:val="30"/>
                <w:szCs w:val="30"/>
              </w:rPr>
            </w:pPr>
            <w:r>
              <w:rPr>
                <w:rFonts w:hint="eastAsia" w:ascii="黑体" w:hAnsi="黑体" w:eastAsia="黑体"/>
                <w:color w:val="000000" w:themeColor="text1"/>
                <w:kern w:val="21"/>
                <w:sz w:val="30"/>
                <w:szCs w:val="30"/>
              </w:rPr>
              <w:t>专栏1</w:t>
            </w:r>
            <w:r>
              <w:rPr>
                <w:rFonts w:ascii="黑体" w:hAnsi="黑体" w:eastAsia="黑体"/>
                <w:color w:val="000000" w:themeColor="text1"/>
                <w:kern w:val="21"/>
                <w:sz w:val="30"/>
                <w:szCs w:val="30"/>
              </w:rPr>
              <w:t>6</w:t>
            </w:r>
            <w:r>
              <w:rPr>
                <w:rFonts w:hint="eastAsia" w:ascii="黑体" w:hAnsi="黑体" w:eastAsia="黑体"/>
                <w:color w:val="000000" w:themeColor="text1"/>
                <w:kern w:val="21"/>
                <w:sz w:val="30"/>
                <w:szCs w:val="30"/>
              </w:rPr>
              <w:t xml:space="preserve"> 新型智慧城乡建设重点工程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1" w:type="dxa"/>
            <w:bottom w:w="11" w:type="dxa"/>
            <w:right w:w="11" w:type="dxa"/>
          </w:tblCellMar>
        </w:tblPrEx>
        <w:trPr>
          <w:trHeight w:val="454" w:hRule="atLeast"/>
          <w:jc w:val="center"/>
        </w:trPr>
        <w:tc>
          <w:tcPr>
            <w:tcW w:w="5000" w:type="pct"/>
          </w:tcPr>
          <w:p>
            <w:pPr>
              <w:adjustRightInd w:val="0"/>
              <w:snapToGrid w:val="0"/>
              <w:spacing w:line="520" w:lineRule="exact"/>
              <w:ind w:firstLine="602" w:firstLineChars="200"/>
              <w:rPr>
                <w:rFonts w:ascii="楷体_GB2312" w:hAnsi="楷体_GB2312" w:eastAsia="楷体_GB2312"/>
                <w:kern w:val="21"/>
                <w:sz w:val="30"/>
                <w:szCs w:val="30"/>
              </w:rPr>
            </w:pPr>
            <w:r>
              <w:rPr>
                <w:rFonts w:hint="eastAsia" w:ascii="楷体_GB2312" w:hAnsi="楷体_GB2312" w:eastAsia="楷体_GB2312"/>
                <w:b/>
                <w:kern w:val="21"/>
                <w:sz w:val="30"/>
                <w:szCs w:val="30"/>
              </w:rPr>
              <w:t>数字孪生城市</w:t>
            </w:r>
            <w:r>
              <w:rPr>
                <w:rFonts w:hint="eastAsia" w:ascii="楷体_GB2312" w:hAnsi="楷体_GB2312" w:eastAsia="楷体_GB2312"/>
                <w:bCs/>
                <w:kern w:val="21"/>
                <w:sz w:val="30"/>
                <w:szCs w:val="30"/>
              </w:rPr>
              <w:t>：</w:t>
            </w:r>
            <w:r>
              <w:rPr>
                <w:rFonts w:hint="eastAsia" w:ascii="楷体_GB2312" w:hAnsi="楷体_GB2312" w:eastAsia="楷体_GB2312"/>
                <w:kern w:val="21"/>
                <w:sz w:val="30"/>
                <w:szCs w:val="30"/>
              </w:rPr>
              <w:t>探索以新城新区为重点，建设信息管理中枢，探索推动数字城市与现实城市同步规划、同步建设，实现模拟运行、交互反馈、全域全时监测，发挥辅助决策作用。</w:t>
            </w:r>
          </w:p>
          <w:p>
            <w:pPr>
              <w:adjustRightInd w:val="0"/>
              <w:snapToGrid w:val="0"/>
              <w:spacing w:line="520" w:lineRule="exact"/>
              <w:ind w:firstLine="602" w:firstLineChars="200"/>
              <w:rPr>
                <w:rFonts w:ascii="楷体_GB2312" w:hAnsi="楷体_GB2312" w:eastAsia="楷体_GB2312"/>
                <w:kern w:val="21"/>
                <w:sz w:val="30"/>
                <w:szCs w:val="30"/>
              </w:rPr>
            </w:pPr>
            <w:r>
              <w:rPr>
                <w:rFonts w:hint="eastAsia" w:ascii="楷体_GB2312" w:hAnsi="楷体_GB2312" w:eastAsia="楷体_GB2312"/>
                <w:b/>
                <w:bCs/>
                <w:kern w:val="21"/>
                <w:sz w:val="30"/>
                <w:szCs w:val="30"/>
              </w:rPr>
              <w:t>城市综合管理服务平台：</w:t>
            </w:r>
            <w:r>
              <w:rPr>
                <w:rFonts w:hint="eastAsia" w:ascii="楷体_GB2312" w:hAnsi="楷体_GB2312" w:eastAsia="楷体_GB2312"/>
                <w:kern w:val="21"/>
                <w:sz w:val="30"/>
                <w:szCs w:val="30"/>
              </w:rPr>
              <w:t>建设涵盖城市管理全领域的数据资源体系、业务指导系统、指挥协调系统、行业应用体系、基础环境和管理体系，打造市县一体化的城市综合管理服务平台，并与自治区级平台对接，实现上下两级平台互联互通，同时推进市、区平台向街道和社区进行业务拓展延伸，实现业务管理区域无死角全覆盖，建立横向到边、纵向到底的业务派遣机制，构建管理进社区、问题抓源头的精细化管理新格局。</w:t>
            </w:r>
          </w:p>
          <w:p>
            <w:pPr>
              <w:adjustRightInd w:val="0"/>
              <w:snapToGrid w:val="0"/>
              <w:spacing w:line="520" w:lineRule="exact"/>
              <w:ind w:firstLine="602" w:firstLineChars="200"/>
              <w:rPr>
                <w:color w:val="000000" w:themeColor="text1"/>
              </w:rPr>
            </w:pPr>
            <w:r>
              <w:rPr>
                <w:rFonts w:hint="eastAsia" w:ascii="楷体_GB2312" w:hAnsi="楷体_GB2312" w:eastAsia="楷体_GB2312"/>
                <w:b/>
                <w:kern w:val="21"/>
                <w:sz w:val="30"/>
                <w:szCs w:val="30"/>
              </w:rPr>
              <w:t>数字乡村：</w:t>
            </w:r>
            <w:r>
              <w:rPr>
                <w:rFonts w:hint="eastAsia" w:ascii="楷体_GB2312" w:hAnsi="楷体_GB2312" w:eastAsia="楷体_GB2312"/>
                <w:kern w:val="21"/>
                <w:sz w:val="30"/>
                <w:szCs w:val="30"/>
              </w:rPr>
              <w:t>推动数字化与乡村治理融合，以数据驱动、信息共享、数据挖掘等方式，解决乡村治理面临的难题。完善升级乡村基础设施，支持建设农产品电商、乡村旅游和农家乐互动等数字化平台，发展乡村数字经济。</w:t>
            </w:r>
          </w:p>
        </w:tc>
      </w:tr>
    </w:tbl>
    <w:p>
      <w:pPr>
        <w:pStyle w:val="5"/>
        <w:keepNext w:val="0"/>
        <w:keepLines w:val="0"/>
        <w:adjustRightInd w:val="0"/>
        <w:snapToGrid w:val="0"/>
        <w:spacing w:before="0" w:after="0" w:line="600" w:lineRule="exact"/>
        <w:ind w:firstLine="643"/>
        <w:jc w:val="both"/>
        <w:rPr>
          <w:rFonts w:ascii="楷体_GB2312" w:hAnsi="楷体_GB2312" w:cs="方正楷体_GBK"/>
          <w:bCs w:val="0"/>
          <w:color w:val="000000" w:themeColor="text1"/>
          <w:kern w:val="21"/>
        </w:rPr>
      </w:pPr>
      <w:bookmarkStart w:id="86" w:name="_Toc93410022"/>
      <w:r>
        <w:rPr>
          <w:rFonts w:hint="eastAsia" w:ascii="楷体_GB2312" w:hAnsi="楷体_GB2312" w:cs="方正楷体_GBK"/>
          <w:bCs w:val="0"/>
          <w:color w:val="000000" w:themeColor="text1"/>
          <w:kern w:val="21"/>
        </w:rPr>
        <w:t>（八）奋力强枢纽扩开放，融入数字开放发展新格局</w:t>
      </w:r>
      <w:bookmarkEnd w:id="86"/>
    </w:p>
    <w:p>
      <w:pPr>
        <w:pStyle w:val="44"/>
        <w:spacing w:line="600" w:lineRule="exact"/>
        <w:ind w:firstLine="640" w:firstLineChars="200"/>
        <w:rPr>
          <w:color w:val="000000" w:themeColor="text1"/>
        </w:rPr>
      </w:pPr>
      <w:r>
        <w:rPr>
          <w:rFonts w:hint="eastAsia" w:ascii="仿宋_GB2312" w:hAnsi="仿宋" w:eastAsia="仿宋_GB2312"/>
          <w:color w:val="000000" w:themeColor="text1"/>
          <w:kern w:val="0"/>
          <w:sz w:val="32"/>
          <w:szCs w:val="32"/>
        </w:rPr>
        <w:t>紧扣“一体化”和“高质量”两个关键词，借助信息化手段，积极探索跨区域联动，在基础设施共建、科创资源共享、创新业务协同等方面加强区域协作。</w:t>
      </w:r>
    </w:p>
    <w:p>
      <w:pPr>
        <w:pStyle w:val="6"/>
        <w:spacing w:before="0" w:after="0" w:line="600" w:lineRule="exact"/>
        <w:ind w:firstLine="643" w:firstLineChars="200"/>
        <w:rPr>
          <w:rFonts w:eastAsia="楷体_GB2312"/>
          <w:color w:val="000000" w:themeColor="text1"/>
        </w:rPr>
      </w:pPr>
      <w:bookmarkStart w:id="87" w:name="_Toc93410023"/>
      <w:r>
        <w:rPr>
          <w:rFonts w:eastAsia="楷体_GB2312"/>
          <w:color w:val="000000" w:themeColor="text1"/>
        </w:rPr>
        <w:t>1.</w:t>
      </w:r>
      <w:r>
        <w:rPr>
          <w:rFonts w:hint="eastAsia" w:eastAsia="楷体_GB2312"/>
          <w:color w:val="000000" w:themeColor="text1"/>
        </w:rPr>
        <w:t>推动基础设施共建共享</w:t>
      </w:r>
      <w:bookmarkEnd w:id="87"/>
    </w:p>
    <w:p>
      <w:pPr>
        <w:pStyle w:val="33"/>
        <w:spacing w:before="0" w:after="0" w:line="600" w:lineRule="exact"/>
        <w:ind w:firstLine="683" w:firstLineChars="200"/>
        <w:jc w:val="both"/>
        <w:rPr>
          <w:rFonts w:ascii="仿宋_GB2312" w:eastAsia="仿宋_GB2312"/>
          <w:bCs w:val="0"/>
          <w:color w:val="000000" w:themeColor="text1"/>
          <w:sz w:val="32"/>
          <w:szCs w:val="32"/>
        </w:rPr>
      </w:pPr>
      <w:r>
        <w:rPr>
          <w:rFonts w:hint="eastAsia" w:ascii="楷体_GB2312" w:hAnsi="楷体_GB2312" w:eastAsia="楷体_GB2312"/>
          <w:b/>
          <w:color w:val="000000" w:themeColor="text1"/>
          <w:sz w:val="32"/>
          <w:szCs w:val="32"/>
        </w:rPr>
        <w:t>打造两湾数字经济关键节点（玉林）。</w:t>
      </w:r>
      <w:r>
        <w:rPr>
          <w:rFonts w:hint="eastAsia" w:ascii="仿宋_GB2312" w:eastAsia="仿宋_GB2312"/>
          <w:bCs w:val="0"/>
          <w:color w:val="000000" w:themeColor="text1"/>
          <w:sz w:val="32"/>
          <w:szCs w:val="32"/>
        </w:rPr>
        <w:t>提升现有网络承载能力，扩容城市互联网出口带宽，融入“两湾”城际高效互联体系，打造“东融大湾区、西接北部湾”的数字经济关键节点。积极引进互联网公有云布局玉林节点，推动玉林孪生计算与大数据云服务中心参与两湾地区数据中心和存算资源协同布局。</w:t>
      </w:r>
    </w:p>
    <w:p>
      <w:pPr>
        <w:pStyle w:val="33"/>
        <w:spacing w:before="0" w:after="0" w:line="600" w:lineRule="exact"/>
        <w:ind w:firstLine="683" w:firstLineChars="200"/>
        <w:jc w:val="both"/>
        <w:rPr>
          <w:rFonts w:ascii="仿宋_GB2312" w:eastAsia="仿宋_GB2312"/>
          <w:bCs w:val="0"/>
          <w:color w:val="000000" w:themeColor="text1"/>
          <w:sz w:val="32"/>
          <w:szCs w:val="32"/>
        </w:rPr>
      </w:pPr>
      <w:r>
        <w:rPr>
          <w:rFonts w:hint="eastAsia" w:ascii="楷体_GB2312" w:hAnsi="楷体_GB2312" w:eastAsia="楷体_GB2312"/>
          <w:b/>
          <w:color w:val="000000" w:themeColor="text1"/>
          <w:sz w:val="32"/>
          <w:szCs w:val="32"/>
        </w:rPr>
        <w:t>积极推动数字基础设施联动。</w:t>
      </w:r>
      <w:r>
        <w:rPr>
          <w:rFonts w:hint="eastAsia" w:ascii="仿宋_GB2312" w:eastAsia="仿宋_GB2312"/>
          <w:bCs w:val="0"/>
          <w:color w:val="000000" w:themeColor="text1"/>
          <w:sz w:val="32"/>
          <w:szCs w:val="32"/>
        </w:rPr>
        <w:t>加强国际合作，积极参与“数字丝绸之路”建设，融入中国-东盟信息港数据平台体系，将玉林打造成为面向东盟的国际信息通信节点。利用信息技术改造提升服务投资贸易模式，积极发展面向中国-东盟双边合作的大数据、云计算、物联网、电子商务等多元服务方式，助力中国-东盟“智能计算”国际服务走廊建设。加强数字经济重点领域合作，促进数据要素跨区域流通共享，深入开展大数据创新应用，探索区域数字经济发展新模式。</w:t>
      </w:r>
    </w:p>
    <w:p>
      <w:pPr>
        <w:pStyle w:val="6"/>
        <w:spacing w:before="0" w:after="0" w:line="600" w:lineRule="exact"/>
        <w:ind w:firstLine="643" w:firstLineChars="200"/>
        <w:rPr>
          <w:rFonts w:eastAsia="楷体_GB2312"/>
          <w:color w:val="000000" w:themeColor="text1"/>
        </w:rPr>
      </w:pPr>
      <w:bookmarkStart w:id="88" w:name="_Toc93410024"/>
      <w:r>
        <w:rPr>
          <w:rFonts w:hint="eastAsia" w:eastAsia="楷体_GB2312"/>
          <w:color w:val="000000" w:themeColor="text1"/>
        </w:rPr>
        <w:t>2</w:t>
      </w:r>
      <w:r>
        <w:rPr>
          <w:rFonts w:eastAsia="楷体_GB2312"/>
          <w:color w:val="000000" w:themeColor="text1"/>
        </w:rPr>
        <w:t>.</w:t>
      </w:r>
      <w:r>
        <w:rPr>
          <w:rFonts w:hint="eastAsia" w:eastAsia="楷体_GB2312"/>
          <w:color w:val="000000" w:themeColor="text1"/>
        </w:rPr>
        <w:t>促进</w:t>
      </w:r>
      <w:bookmarkStart w:id="89" w:name="_Hlk92529317"/>
      <w:r>
        <w:rPr>
          <w:rFonts w:hint="eastAsia" w:eastAsia="楷体_GB2312"/>
          <w:color w:val="000000" w:themeColor="text1"/>
        </w:rPr>
        <w:t>科创资源互通共享</w:t>
      </w:r>
      <w:bookmarkEnd w:id="88"/>
      <w:bookmarkEnd w:id="89"/>
    </w:p>
    <w:p>
      <w:pPr>
        <w:pStyle w:val="33"/>
        <w:spacing w:before="0" w:after="0" w:line="600" w:lineRule="exact"/>
        <w:ind w:firstLine="683" w:firstLineChars="200"/>
        <w:jc w:val="both"/>
        <w:rPr>
          <w:rFonts w:ascii="仿宋_GB2312" w:eastAsia="仿宋_GB2312"/>
          <w:bCs w:val="0"/>
          <w:color w:val="000000" w:themeColor="text1"/>
          <w:sz w:val="32"/>
          <w:szCs w:val="32"/>
        </w:rPr>
      </w:pPr>
      <w:r>
        <w:rPr>
          <w:rFonts w:hint="eastAsia" w:ascii="楷体_GB2312" w:hAnsi="楷体_GB2312" w:eastAsia="楷体_GB2312"/>
          <w:b/>
          <w:color w:val="000000" w:themeColor="text1"/>
          <w:sz w:val="32"/>
          <w:szCs w:val="32"/>
        </w:rPr>
        <w:t>着力建设互动交流平台。</w:t>
      </w:r>
      <w:r>
        <w:rPr>
          <w:rFonts w:hint="eastAsia" w:ascii="仿宋_GB2312" w:eastAsia="仿宋_GB2312"/>
          <w:bCs w:val="0"/>
          <w:color w:val="000000" w:themeColor="text1"/>
          <w:sz w:val="32"/>
          <w:szCs w:val="32"/>
        </w:rPr>
        <w:t>举办中国-东盟信息港数字经济发展合作高峰论坛（广西·玉林），打造新型数字经济全球重要会展和高端对话平台。建设数字经济研究院，深化与沿线国家和地区在技术研发、标准制定、行业应用、人才培养等方面的合作交流。积极对接国内顶尖高校、智库资源，构建东盟、两湾信息交流与合作平台，形成跨区域协同研究机制，围绕数字经济重点领域，推动成立产业联盟、投资联盟、智库联盟，打造共享项目库、私募平台；围绕区域性国际数据交易、大数据和云计算服务创新与培育、人工智能产业化、智能终端产业链完善、信息产业关键核心技术研发、工业互联网互联互通、制造业智能化个性化发展等数字经济发展中的难点问题，推动关键核心理论创新与科研成果转化落地。</w:t>
      </w:r>
    </w:p>
    <w:p>
      <w:pPr>
        <w:pStyle w:val="33"/>
        <w:spacing w:before="0" w:after="0" w:line="600" w:lineRule="exact"/>
        <w:ind w:firstLine="683" w:firstLineChars="200"/>
        <w:jc w:val="both"/>
        <w:rPr>
          <w:color w:val="000000" w:themeColor="text1"/>
        </w:rPr>
      </w:pPr>
      <w:r>
        <w:rPr>
          <w:rFonts w:hint="eastAsia" w:ascii="楷体_GB2312" w:hAnsi="楷体_GB2312" w:eastAsia="楷体_GB2312"/>
          <w:b/>
          <w:color w:val="000000" w:themeColor="text1"/>
          <w:sz w:val="32"/>
          <w:szCs w:val="32"/>
        </w:rPr>
        <w:t>推动多领域智慧应用协同。</w:t>
      </w:r>
      <w:r>
        <w:rPr>
          <w:rFonts w:hint="eastAsia" w:ascii="仿宋_GB2312" w:eastAsia="仿宋_GB2312"/>
          <w:bCs w:val="0"/>
          <w:color w:val="000000" w:themeColor="text1"/>
          <w:sz w:val="32"/>
          <w:szCs w:val="32"/>
        </w:rPr>
        <w:t>发挥和提升玉林市作为北部湾经济区重要城市的影响力，全面深化与北部湾城市以及柳州、梧州、贺州、肇庆、云浮等周边城市的合作，加快推进与其他城市的同城化建设，推动政务数据跨区域共享，打破部门和地区信息壁垒，加速高频事项“湾内</w:t>
      </w:r>
      <w:r>
        <w:rPr>
          <w:rFonts w:hint="eastAsia" w:ascii="仿宋_GB2312" w:hAnsi="仿宋_GB2312" w:eastAsia="仿宋_GB2312" w:cs="仿宋_GB2312"/>
          <w:bCs w:val="0"/>
          <w:color w:val="000000" w:themeColor="text1"/>
          <w:sz w:val="32"/>
          <w:szCs w:val="32"/>
        </w:rPr>
        <w:t>通办”进程</w:t>
      </w:r>
      <w:r>
        <w:rPr>
          <w:rFonts w:hint="eastAsia" w:ascii="仿宋_GB2312" w:eastAsia="仿宋_GB2312"/>
          <w:bCs w:val="0"/>
          <w:color w:val="000000" w:themeColor="text1"/>
          <w:sz w:val="32"/>
          <w:szCs w:val="32"/>
        </w:rPr>
        <w:t>。积极融入两湾的“城市大脑”集群，实现城市服务、城市管理和社会治理跨区域协同，助力提高城市精细化管理水平。依托两湾地区高质量的网络资源和完善的平台资源，通过“互联网+”等数字化方式，推动优质教育教学、医疗健康、文化旅游以及养老等资源共建共享，加快数字化和一体化的民生服务进程。积极融入北部湾和大湾区大型科学仪器协作共用网，推动科技成果、大型科学仪器设备、文献数据资源跨区域共享共用，支持大湾区城市在玉林建设“科创飞地”，积极推动粤港澳大湾区科技成果向广西转移转化。</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33"/>
              <w:spacing w:before="0" w:after="0" w:line="600" w:lineRule="exact"/>
              <w:jc w:val="center"/>
              <w:rPr>
                <w:rFonts w:eastAsia="黑体"/>
                <w:bCs w:val="0"/>
                <w:color w:val="000000" w:themeColor="text1"/>
                <w:sz w:val="32"/>
                <w:szCs w:val="32"/>
              </w:rPr>
            </w:pPr>
            <w:r>
              <w:rPr>
                <w:rFonts w:hint="eastAsia" w:ascii="黑体" w:hAnsi="黑体" w:eastAsia="黑体"/>
                <w:color w:val="000000" w:themeColor="text1"/>
                <w:kern w:val="21"/>
                <w:sz w:val="30"/>
                <w:szCs w:val="30"/>
              </w:rPr>
              <w:t>专栏</w:t>
            </w:r>
            <w:r>
              <w:rPr>
                <w:rFonts w:ascii="黑体" w:hAnsi="黑体" w:eastAsia="黑体"/>
                <w:color w:val="000000" w:themeColor="text1"/>
                <w:kern w:val="21"/>
                <w:sz w:val="30"/>
                <w:szCs w:val="30"/>
              </w:rPr>
              <w:t>17</w:t>
            </w:r>
            <w:r>
              <w:rPr>
                <w:rFonts w:hint="eastAsia" w:ascii="黑体" w:hAnsi="黑体" w:eastAsia="黑体"/>
                <w:color w:val="000000" w:themeColor="text1"/>
                <w:kern w:val="21"/>
                <w:sz w:val="30"/>
                <w:szCs w:val="30"/>
              </w:rPr>
              <w:t xml:space="preserve"> 科创资源互通共享重点工程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djustRightInd w:val="0"/>
              <w:snapToGrid w:val="0"/>
              <w:spacing w:line="520" w:lineRule="exact"/>
              <w:ind w:firstLine="602" w:firstLineChars="200"/>
              <w:rPr>
                <w:rFonts w:ascii="楷体_GB2312" w:hAnsi="楷体_GB2312" w:eastAsia="楷体_GB2312"/>
                <w:bCs/>
                <w:color w:val="000000" w:themeColor="text1"/>
                <w:kern w:val="21"/>
                <w:sz w:val="30"/>
                <w:szCs w:val="30"/>
              </w:rPr>
            </w:pPr>
            <w:r>
              <w:rPr>
                <w:rFonts w:hint="eastAsia" w:ascii="楷体_GB2312" w:hAnsi="楷体_GB2312" w:eastAsia="楷体_GB2312"/>
                <w:b/>
                <w:color w:val="000000" w:themeColor="text1"/>
                <w:kern w:val="21"/>
                <w:sz w:val="30"/>
                <w:szCs w:val="30"/>
              </w:rPr>
              <w:t>举办中国-东盟信息港数字经济发展合作高峰论坛（广西·玉林）：</w:t>
            </w:r>
            <w:r>
              <w:rPr>
                <w:rFonts w:hint="eastAsia" w:ascii="楷体_GB2312" w:hAnsi="楷体_GB2312" w:eastAsia="楷体_GB2312"/>
                <w:bCs/>
                <w:color w:val="000000" w:themeColor="text1"/>
                <w:kern w:val="21"/>
                <w:sz w:val="30"/>
                <w:szCs w:val="30"/>
              </w:rPr>
              <w:t>借鉴福建数字中国、贵州国际数博会的经验做法，进行高端定位和整体策划，充分利用研究院的资源优势，邀请数字经济领域相关政府领袖、著名专家学者以及企业，重点围绕大数据、物联网、信息服务外包、跨境电子商务、北斗导航、智慧城市等领域，举办中国-东盟信息港数字经济发展合作高峰论坛。</w:t>
            </w:r>
          </w:p>
          <w:p>
            <w:pPr>
              <w:adjustRightInd w:val="0"/>
              <w:snapToGrid w:val="0"/>
              <w:spacing w:line="520" w:lineRule="exact"/>
              <w:ind w:firstLine="602" w:firstLineChars="200"/>
              <w:rPr>
                <w:rFonts w:ascii="楷体_GB2312" w:hAnsi="楷体_GB2312" w:eastAsia="楷体_GB2312"/>
                <w:bCs/>
                <w:color w:val="000000" w:themeColor="text1"/>
                <w:kern w:val="21"/>
                <w:sz w:val="30"/>
                <w:szCs w:val="30"/>
              </w:rPr>
            </w:pPr>
            <w:r>
              <w:rPr>
                <w:rFonts w:hint="eastAsia" w:ascii="楷体_GB2312" w:hAnsi="楷体_GB2312" w:eastAsia="楷体_GB2312"/>
                <w:b/>
                <w:color w:val="000000" w:themeColor="text1"/>
                <w:kern w:val="21"/>
                <w:sz w:val="30"/>
                <w:szCs w:val="30"/>
              </w:rPr>
              <w:t>建立数字经济高端智库：</w:t>
            </w:r>
            <w:r>
              <w:rPr>
                <w:rFonts w:hint="eastAsia" w:ascii="楷体_GB2312" w:hAnsi="楷体_GB2312" w:eastAsia="楷体_GB2312"/>
                <w:bCs/>
                <w:color w:val="000000" w:themeColor="text1"/>
                <w:kern w:val="21"/>
                <w:sz w:val="30"/>
                <w:szCs w:val="30"/>
              </w:rPr>
              <w:t>通过“产学研用”合作的形式邀请全国相关领域专家学者，整合数字经济领域政府、科研机构、央企国企、大型企业、科创企业等相关资源要素，加强与东盟各国、两湾、长三角经济带等地的相应机构和单位对接，形成“产学研用”跨区域联动。集聚一批国内外一流的专家学者，打造一支跨学科、多元化、复合型的研究队伍，建设一个以数字经济为主要研究对象的高端智库。</w:t>
            </w:r>
          </w:p>
          <w:p>
            <w:pPr>
              <w:adjustRightInd w:val="0"/>
              <w:snapToGrid w:val="0"/>
              <w:spacing w:line="520" w:lineRule="exact"/>
              <w:ind w:firstLine="602" w:firstLineChars="200"/>
              <w:rPr>
                <w:rFonts w:eastAsia="方正仿宋_GBK"/>
                <w:bCs/>
                <w:color w:val="000000" w:themeColor="text1"/>
                <w:kern w:val="0"/>
                <w:sz w:val="32"/>
                <w:szCs w:val="32"/>
              </w:rPr>
            </w:pPr>
            <w:r>
              <w:rPr>
                <w:rFonts w:hint="eastAsia" w:ascii="楷体_GB2312" w:hAnsi="楷体_GB2312" w:eastAsia="楷体_GB2312"/>
                <w:b/>
                <w:color w:val="000000" w:themeColor="text1"/>
                <w:kern w:val="21"/>
                <w:sz w:val="30"/>
                <w:szCs w:val="30"/>
              </w:rPr>
              <w:t>北部湾政务服务同城化协同工程：</w:t>
            </w:r>
            <w:r>
              <w:rPr>
                <w:rFonts w:hint="eastAsia" w:ascii="楷体_GB2312" w:hAnsi="楷体_GB2312" w:eastAsia="楷体_GB2312"/>
                <w:bCs/>
                <w:color w:val="000000" w:themeColor="text1"/>
                <w:kern w:val="21"/>
                <w:sz w:val="30"/>
                <w:szCs w:val="30"/>
              </w:rPr>
              <w:t>依托广西第一朵安全自主政务（鲲鹏）云——“壮美广西·玉林政务云”，发挥玉林在全区1</w:t>
            </w:r>
            <w:r>
              <w:rPr>
                <w:rFonts w:ascii="楷体_GB2312" w:hAnsi="楷体_GB2312" w:eastAsia="楷体_GB2312"/>
                <w:bCs/>
                <w:color w:val="000000" w:themeColor="text1"/>
                <w:kern w:val="21"/>
                <w:sz w:val="30"/>
                <w:szCs w:val="30"/>
              </w:rPr>
              <w:t>4</w:t>
            </w:r>
            <w:r>
              <w:rPr>
                <w:rFonts w:hint="eastAsia" w:ascii="楷体_GB2312" w:hAnsi="楷体_GB2312" w:eastAsia="楷体_GB2312"/>
                <w:bCs/>
                <w:color w:val="000000" w:themeColor="text1"/>
                <w:kern w:val="21"/>
                <w:sz w:val="30"/>
                <w:szCs w:val="30"/>
              </w:rPr>
              <w:t>个区市中排名第二的政务数据共享能力以及全区政务服务“同城通办”“跨省通办”试点市的政策优势，持续推广政务数据治理“五个一”新模式，建立北部湾身份认证、电子证照等信息资源共享互认机制，实现政务服务“同事同标”，加快推进在社保、就医、养老、旅游等方面实现“同城待遇”。</w:t>
            </w:r>
          </w:p>
        </w:tc>
      </w:tr>
    </w:tbl>
    <w:p>
      <w:pPr>
        <w:pStyle w:val="6"/>
        <w:spacing w:before="0" w:after="0" w:line="600" w:lineRule="exact"/>
        <w:ind w:firstLine="643" w:firstLineChars="200"/>
        <w:rPr>
          <w:rFonts w:eastAsia="楷体_GB2312"/>
          <w:color w:val="000000" w:themeColor="text1"/>
        </w:rPr>
      </w:pPr>
      <w:bookmarkStart w:id="90" w:name="_Toc93410025"/>
      <w:r>
        <w:rPr>
          <w:rFonts w:eastAsia="楷体_GB2312"/>
          <w:color w:val="000000" w:themeColor="text1"/>
        </w:rPr>
        <w:t>3.推进产业发展互补互利</w:t>
      </w:r>
      <w:bookmarkEnd w:id="90"/>
    </w:p>
    <w:p>
      <w:pPr>
        <w:pStyle w:val="33"/>
        <w:spacing w:before="0" w:after="0" w:line="600" w:lineRule="exact"/>
        <w:ind w:firstLine="683" w:firstLineChars="200"/>
        <w:jc w:val="both"/>
        <w:rPr>
          <w:rFonts w:ascii="仿宋_GB2312" w:eastAsia="仿宋_GB2312"/>
          <w:bCs w:val="0"/>
          <w:color w:val="000000" w:themeColor="text1"/>
          <w:sz w:val="32"/>
          <w:szCs w:val="32"/>
        </w:rPr>
      </w:pPr>
      <w:r>
        <w:rPr>
          <w:rFonts w:hint="eastAsia" w:ascii="楷体_GB2312" w:hAnsi="楷体_GB2312" w:eastAsia="楷体_GB2312"/>
          <w:b/>
          <w:color w:val="000000" w:themeColor="text1"/>
          <w:sz w:val="32"/>
          <w:szCs w:val="32"/>
        </w:rPr>
        <w:t>广泛开展产业跨区合作。</w:t>
      </w:r>
      <w:r>
        <w:rPr>
          <w:rFonts w:hint="eastAsia" w:ascii="仿宋_GB2312" w:eastAsia="仿宋_GB2312"/>
          <w:bCs w:val="0"/>
          <w:color w:val="000000" w:themeColor="text1"/>
          <w:sz w:val="32"/>
          <w:szCs w:val="32"/>
        </w:rPr>
        <w:t>积极融入“粤港澳大湾区-北部湾经济区-东盟”数字经济跨境产业链供应链，围绕数据分析与咨询、大数据资产化交易、新型工业应用软件、区块链专业服务、工业互联网特色平台等重点领域，打造跨境产业协作平台，培育一批跨境电商、数字内容、数字商贸、跨境物流、数字金融等领域的数字经济企业。积极开展面向东盟、大湾区、西部陆海新通道的特色产业数字化转型合作，探索具有玉林特色的协同发展路径。</w:t>
      </w:r>
    </w:p>
    <w:p>
      <w:pPr>
        <w:pStyle w:val="33"/>
        <w:spacing w:before="0" w:after="0" w:line="600" w:lineRule="exact"/>
        <w:ind w:firstLine="683" w:firstLineChars="200"/>
        <w:jc w:val="both"/>
        <w:rPr>
          <w:color w:val="000000" w:themeColor="text1"/>
        </w:rPr>
      </w:pPr>
      <w:r>
        <w:rPr>
          <w:rFonts w:hint="eastAsia" w:ascii="楷体_GB2312" w:hAnsi="楷体_GB2312" w:eastAsia="楷体_GB2312"/>
          <w:b/>
          <w:color w:val="000000" w:themeColor="text1"/>
          <w:sz w:val="32"/>
          <w:szCs w:val="32"/>
        </w:rPr>
        <w:t>合力建设两湾工业互联网。</w:t>
      </w:r>
      <w:r>
        <w:rPr>
          <w:rFonts w:hint="eastAsia" w:ascii="仿宋_GB2312" w:eastAsia="仿宋_GB2312"/>
          <w:bCs w:val="0"/>
          <w:color w:val="000000" w:themeColor="text1"/>
          <w:sz w:val="32"/>
          <w:szCs w:val="32"/>
        </w:rPr>
        <w:t>依托玉林“星火·链网”骨干节点建设契机，开展与大湾区工业互联网的全方位深度合作，积极引进工业互联网龙头企业，共同推进工业互联网应用场景营建。推广基于数据的工艺优化、流程优化、设备维护与事故风险预警等应用，聚焦装备制造、电子信息等行业，联合打造具有国内先进水平的工业互联网平台。支持玉林师范学院等高校加入两湾工业互联网人才实训基地集群，在人才培养、人才供需精准对接、课程体系开发等方面优势互补，共同推进两湾工业互联网核心人才体系开发和建设。</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33"/>
              <w:spacing w:before="0" w:after="0" w:line="600" w:lineRule="exact"/>
              <w:jc w:val="center"/>
              <w:rPr>
                <w:b/>
                <w:color w:val="000000" w:themeColor="text1"/>
                <w:sz w:val="32"/>
                <w:szCs w:val="32"/>
              </w:rPr>
            </w:pPr>
            <w:r>
              <w:rPr>
                <w:rFonts w:hint="eastAsia" w:ascii="黑体" w:hAnsi="黑体" w:eastAsia="黑体"/>
                <w:color w:val="000000" w:themeColor="text1"/>
                <w:kern w:val="21"/>
                <w:sz w:val="30"/>
                <w:szCs w:val="30"/>
              </w:rPr>
              <w:t>专栏</w:t>
            </w:r>
            <w:r>
              <w:rPr>
                <w:rFonts w:ascii="黑体" w:hAnsi="黑体" w:eastAsia="黑体"/>
                <w:color w:val="000000" w:themeColor="text1"/>
                <w:kern w:val="21"/>
                <w:sz w:val="30"/>
                <w:szCs w:val="30"/>
              </w:rPr>
              <w:t>18</w:t>
            </w:r>
            <w:r>
              <w:rPr>
                <w:rFonts w:hint="eastAsia" w:ascii="黑体" w:hAnsi="黑体" w:eastAsia="黑体"/>
                <w:color w:val="000000" w:themeColor="text1"/>
                <w:kern w:val="21"/>
                <w:sz w:val="30"/>
                <w:szCs w:val="30"/>
              </w:rPr>
              <w:t xml:space="preserve"> 产业发展互补互利重点工程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djustRightInd w:val="0"/>
              <w:snapToGrid w:val="0"/>
              <w:spacing w:line="520" w:lineRule="exact"/>
              <w:ind w:firstLine="602" w:firstLineChars="200"/>
              <w:rPr>
                <w:rFonts w:ascii="楷体_GB2312" w:hAnsi="楷体_GB2312" w:eastAsia="楷体_GB2312"/>
                <w:bCs/>
                <w:color w:val="000000" w:themeColor="text1"/>
                <w:kern w:val="21"/>
                <w:sz w:val="30"/>
                <w:szCs w:val="30"/>
              </w:rPr>
            </w:pPr>
            <w:r>
              <w:rPr>
                <w:rFonts w:hint="eastAsia" w:ascii="楷体_GB2312" w:hAnsi="楷体_GB2312" w:eastAsia="楷体_GB2312"/>
                <w:b/>
                <w:color w:val="000000" w:themeColor="text1"/>
                <w:kern w:val="21"/>
                <w:sz w:val="30"/>
                <w:szCs w:val="30"/>
              </w:rPr>
              <w:t>打造中国（玉林）-东盟跨境合作产业带：</w:t>
            </w:r>
            <w:r>
              <w:rPr>
                <w:rFonts w:hint="eastAsia" w:ascii="楷体_GB2312" w:hAnsi="楷体_GB2312" w:eastAsia="楷体_GB2312"/>
                <w:bCs/>
                <w:color w:val="000000" w:themeColor="text1"/>
                <w:kern w:val="21"/>
                <w:sz w:val="30"/>
                <w:szCs w:val="30"/>
              </w:rPr>
              <w:t>依托玉林龙潭产业园区、广西先进装备制造城（玉林），大力发展新能源汽车跨境产业链；依托广西先进装备制造城（玉林）、玉林高新技术产业开发区、容县电子信息产业园和广西（北流）轻工产业园，建设玉林数字经济城，培育跨境电子信息产业链；围绕中医药、牛仔轻纺、陶瓷等特色产业，依托玉林中医药健康产业园、玉林福绵国际电商牛仔轻纺城、北流日用陶瓷工业园区［广西（北流）轻工产业园］，建设中国（玉林）-东盟区域特色贸易品牌，打造跨境电子商务试点示范。</w:t>
            </w:r>
          </w:p>
          <w:p>
            <w:pPr>
              <w:adjustRightInd w:val="0"/>
              <w:snapToGrid w:val="0"/>
              <w:spacing w:line="520" w:lineRule="exact"/>
              <w:ind w:firstLine="602" w:firstLineChars="200"/>
              <w:rPr>
                <w:rFonts w:ascii="楷体_GB2312" w:hAnsi="楷体_GB2312" w:eastAsia="楷体_GB2312"/>
                <w:bCs/>
                <w:color w:val="000000" w:themeColor="text1"/>
                <w:kern w:val="21"/>
                <w:sz w:val="30"/>
                <w:szCs w:val="30"/>
              </w:rPr>
            </w:pPr>
            <w:r>
              <w:rPr>
                <w:rFonts w:hint="eastAsia" w:ascii="楷体_GB2312" w:hAnsi="楷体_GB2312" w:eastAsia="楷体_GB2312"/>
                <w:b/>
                <w:color w:val="000000" w:themeColor="text1"/>
                <w:kern w:val="21"/>
                <w:sz w:val="30"/>
                <w:szCs w:val="30"/>
              </w:rPr>
              <w:t>两湾工业互联网联动工程：</w:t>
            </w:r>
            <w:r>
              <w:rPr>
                <w:rFonts w:hint="eastAsia" w:ascii="楷体_GB2312" w:hAnsi="楷体_GB2312" w:eastAsia="楷体_GB2312"/>
                <w:bCs/>
                <w:color w:val="000000" w:themeColor="text1"/>
                <w:kern w:val="21"/>
                <w:sz w:val="30"/>
                <w:szCs w:val="30"/>
              </w:rPr>
              <w:t>依托“星火·链网”，与广东、深圳、南宁等两湾核心城市充分互动，通过供应链金融、数字货币验证推广等手段，逐步渗透到生产流通供应的各个环节；加快推进法定数字货币在两湾民生消费、自由贸易、产业金融等领域的应用案例落地，助力两湾打造全国领先的区块链产业集聚地和应用示范区。依托玉林孪生计算与大数据云服务中心，将玉林打造为两湾工业互联网、区块链服务体系的关键节点，推动工业互联网+区块链产业协作。</w:t>
            </w:r>
          </w:p>
          <w:p>
            <w:pPr>
              <w:adjustRightInd w:val="0"/>
              <w:snapToGrid w:val="0"/>
              <w:spacing w:line="520" w:lineRule="exact"/>
              <w:ind w:firstLine="602" w:firstLineChars="200"/>
              <w:rPr>
                <w:rFonts w:eastAsia="方正仿宋_GBK"/>
                <w:bCs/>
                <w:color w:val="000000" w:themeColor="text1"/>
                <w:kern w:val="0"/>
                <w:sz w:val="32"/>
                <w:szCs w:val="32"/>
              </w:rPr>
            </w:pPr>
            <w:r>
              <w:rPr>
                <w:rFonts w:hint="eastAsia" w:ascii="楷体_GB2312" w:hAnsi="楷体_GB2312" w:eastAsia="楷体_GB2312"/>
                <w:b/>
                <w:color w:val="000000" w:themeColor="text1"/>
                <w:kern w:val="21"/>
                <w:sz w:val="30"/>
                <w:szCs w:val="30"/>
              </w:rPr>
              <w:t>向海大宗商品交易数字化探索：</w:t>
            </w:r>
            <w:r>
              <w:rPr>
                <w:rFonts w:hint="eastAsia" w:ascii="楷体_GB2312" w:hAnsi="楷体_GB2312" w:eastAsia="楷体_GB2312"/>
                <w:bCs/>
                <w:color w:val="000000" w:themeColor="text1"/>
                <w:kern w:val="21"/>
                <w:sz w:val="30"/>
                <w:szCs w:val="30"/>
              </w:rPr>
              <w:t>通过引进阿里、腾讯、京东数字科技等互联网龙头企业，尝试将物联网、区块链、互联网平台等多种技术手段引入到大宗商品交易的物流、资金流中，探索对仓储物流实时性差、商贸流通信任度低、融资门槛成本双高、整体市场信息分散等诸多问题的数字化解决方案，以建立一个具有公信力的履约的保障的体系作为基础，搭建出一个服务全产业链的大宗商品供应链服务平台。</w:t>
            </w:r>
          </w:p>
        </w:tc>
      </w:tr>
    </w:tbl>
    <w:p>
      <w:pPr>
        <w:pStyle w:val="5"/>
        <w:keepNext w:val="0"/>
        <w:keepLines w:val="0"/>
        <w:adjustRightInd w:val="0"/>
        <w:snapToGrid w:val="0"/>
        <w:spacing w:before="0" w:after="0" w:line="600" w:lineRule="exact"/>
        <w:ind w:firstLine="640"/>
        <w:jc w:val="both"/>
        <w:rPr>
          <w:rFonts w:ascii="方正楷体_GBK" w:hAnsi="方正楷体_GBK" w:eastAsia="方正楷体_GBK" w:cs="方正楷体_GBK"/>
          <w:bCs w:val="0"/>
          <w:color w:val="000000" w:themeColor="text1"/>
          <w:kern w:val="21"/>
        </w:rPr>
      </w:pPr>
      <w:bookmarkStart w:id="91" w:name="_Toc93410026"/>
      <w:r>
        <w:rPr>
          <w:rFonts w:hint="eastAsia" w:ascii="方正楷体_GBK" w:hAnsi="方正楷体_GBK" w:eastAsia="方正楷体_GBK" w:cs="方正楷体_GBK"/>
          <w:bCs w:val="0"/>
          <w:color w:val="000000" w:themeColor="text1"/>
          <w:kern w:val="21"/>
        </w:rPr>
        <w:t>（九）保障数字政府一体安全，推动数字生态健康发展</w:t>
      </w:r>
      <w:bookmarkEnd w:id="91"/>
    </w:p>
    <w:p>
      <w:pPr>
        <w:pStyle w:val="6"/>
        <w:spacing w:before="0" w:after="0" w:line="600" w:lineRule="exact"/>
        <w:ind w:firstLine="643" w:firstLineChars="200"/>
        <w:rPr>
          <w:rFonts w:eastAsia="楷体_GB2312"/>
          <w:color w:val="000000" w:themeColor="text1"/>
        </w:rPr>
      </w:pPr>
      <w:bookmarkStart w:id="92" w:name="_Toc93410027"/>
      <w:r>
        <w:rPr>
          <w:rFonts w:eastAsia="楷体_GB2312"/>
          <w:color w:val="000000" w:themeColor="text1"/>
        </w:rPr>
        <w:t>1.打造数据治理生态</w:t>
      </w:r>
      <w:bookmarkEnd w:id="92"/>
    </w:p>
    <w:p>
      <w:pPr>
        <w:spacing w:line="600" w:lineRule="exact"/>
        <w:ind w:firstLine="640" w:firstLineChars="200"/>
        <w:rPr>
          <w:color w:val="000000" w:themeColor="text1"/>
        </w:rPr>
      </w:pPr>
      <w:r>
        <w:rPr>
          <w:rFonts w:hint="eastAsia" w:ascii="仿宋_GB2312" w:eastAsia="仿宋_GB2312"/>
          <w:color w:val="000000" w:themeColor="text1"/>
          <w:kern w:val="21"/>
          <w:sz w:val="32"/>
          <w:szCs w:val="32"/>
        </w:rPr>
        <w:t>探索建立统一规范的数据管理制度，强化数据隐私保护制度和安全审查制度建设。以数据赋能、价值引领为重点，健全完善公共数据全生命周期管理制度，规范公共数据提供主体、使用主体和管理主体之间的权责关系，明确公共数据边界和范围，健全数据共享和开放制度，促进数据流动和高效应用。加强对“三新”经济、平台经济、直播经济、网红经济等新兴业态科学有效监管，鼓励互联网平台企业、行业协会等共同参与建立政府监管、行业自律、公众监督“三位一体”的数字经济治理机制，研究制定平台交易规则、直播电子商务标准等，深化数字市场监管治理。</w:t>
      </w:r>
    </w:p>
    <w:p>
      <w:pPr>
        <w:pStyle w:val="6"/>
        <w:spacing w:before="0" w:after="0" w:line="600" w:lineRule="exact"/>
        <w:ind w:firstLine="643" w:firstLineChars="200"/>
        <w:rPr>
          <w:rFonts w:eastAsia="楷体_GB2312"/>
          <w:color w:val="000000" w:themeColor="text1"/>
        </w:rPr>
      </w:pPr>
      <w:bookmarkStart w:id="93" w:name="_Toc93410028"/>
      <w:r>
        <w:rPr>
          <w:rFonts w:hint="eastAsia" w:eastAsia="楷体_GB2312"/>
          <w:color w:val="000000" w:themeColor="text1"/>
        </w:rPr>
        <w:t>2</w:t>
      </w:r>
      <w:r>
        <w:rPr>
          <w:rFonts w:eastAsia="楷体_GB2312"/>
          <w:color w:val="000000" w:themeColor="text1"/>
        </w:rPr>
        <w:t>.</w:t>
      </w:r>
      <w:r>
        <w:rPr>
          <w:rFonts w:hint="eastAsia" w:eastAsia="楷体_GB2312"/>
          <w:color w:val="000000" w:themeColor="text1"/>
        </w:rPr>
        <w:t>提升数字安全防护能力</w:t>
      </w:r>
      <w:bookmarkEnd w:id="93"/>
    </w:p>
    <w:p>
      <w:pPr>
        <w:spacing w:line="600" w:lineRule="exact"/>
        <w:ind w:firstLine="643" w:firstLineChars="200"/>
        <w:rPr>
          <w:rFonts w:ascii="仿宋_GB2312" w:eastAsia="仿宋_GB2312"/>
          <w:color w:val="000000" w:themeColor="text1"/>
          <w:kern w:val="21"/>
          <w:sz w:val="32"/>
          <w:szCs w:val="32"/>
        </w:rPr>
      </w:pPr>
      <w:r>
        <w:rPr>
          <w:rFonts w:hint="eastAsia" w:ascii="楷体_GB2312" w:hAnsi="楷体_GB2312" w:eastAsia="楷体_GB2312"/>
          <w:b/>
          <w:bCs/>
          <w:color w:val="000000" w:themeColor="text1"/>
          <w:kern w:val="21"/>
          <w:sz w:val="32"/>
          <w:szCs w:val="32"/>
        </w:rPr>
        <w:t>加强关键信息基础设施安全防护。</w:t>
      </w:r>
      <w:r>
        <w:rPr>
          <w:rFonts w:hint="eastAsia" w:ascii="仿宋_GB2312" w:eastAsia="仿宋_GB2312"/>
          <w:color w:val="000000" w:themeColor="text1"/>
          <w:kern w:val="21"/>
          <w:sz w:val="32"/>
          <w:szCs w:val="32"/>
        </w:rPr>
        <w:t>加强网络安全治理体系和治理能力建设，落实网络安全责任制，增强政府、企业、重点行业重要网络和关键基础设施安全保障。加强网络、主机、应用等多维度关键信息基础设施的安全防护，确保网络安全基础设施与新基建业务系统同步规划、同步建设、同步运行。推动云操作系统、数据库、中间件、大数据等领域国产化替代进程。提升数据中心、智算中心、云平台等数字基础设施的安全监测和风险防御能力。健全网络安全管理体系，建立跨部门协同联合执法工作机制，加强网络传输、访问控制、授权管理的全流程监管，依法查处网络违法违规行为。</w:t>
      </w:r>
    </w:p>
    <w:p>
      <w:pPr>
        <w:spacing w:line="600" w:lineRule="exact"/>
        <w:ind w:firstLine="643" w:firstLineChars="200"/>
        <w:rPr>
          <w:rFonts w:ascii="仿宋_GB2312" w:eastAsia="仿宋_GB2312"/>
          <w:color w:val="000000" w:themeColor="text1"/>
          <w:kern w:val="21"/>
          <w:sz w:val="32"/>
          <w:szCs w:val="32"/>
        </w:rPr>
      </w:pPr>
      <w:r>
        <w:rPr>
          <w:rFonts w:hint="eastAsia" w:ascii="楷体_GB2312" w:hAnsi="楷体_GB2312" w:eastAsia="楷体_GB2312"/>
          <w:b/>
          <w:bCs/>
          <w:color w:val="000000" w:themeColor="text1"/>
          <w:kern w:val="21"/>
          <w:sz w:val="32"/>
          <w:szCs w:val="32"/>
        </w:rPr>
        <w:t>强化数据安全保护。</w:t>
      </w:r>
      <w:r>
        <w:rPr>
          <w:rFonts w:hint="eastAsia" w:ascii="仿宋_GB2312" w:eastAsia="仿宋_GB2312"/>
          <w:color w:val="000000" w:themeColor="text1"/>
          <w:kern w:val="21"/>
          <w:sz w:val="32"/>
          <w:szCs w:val="32"/>
        </w:rPr>
        <w:t>提升数据安全治理能力，构建数字政府一体化安全防护体系。强化数据提供部门的数据采集、生产、加工、整合、提供等环节安全。保障数据使用部门共享数据使用全过程安全。强化数据资源管理部门的安全措施，保障政务云和市云计算大数据中心安全稳定运行。健全大数据环境下的数据分类分级安全保护机制，对不同类别的数据采取差异化的处理规则和管理方法。加强对政务数据、企业商业秘密和个人数据的保护，避免相关数据使用过程中出现的安全风险。增强密码安全意识，积极促进密码与数字经济、数字政府、数字社会的融合应用,不断筑牢密码安全防线。</w:t>
      </w:r>
    </w:p>
    <w:p>
      <w:pPr>
        <w:spacing w:line="600" w:lineRule="exact"/>
        <w:ind w:firstLine="643" w:firstLineChars="200"/>
        <w:rPr>
          <w:rFonts w:ascii="仿宋_GB2312" w:eastAsia="仿宋_GB2312"/>
          <w:color w:val="000000" w:themeColor="text1"/>
          <w:kern w:val="21"/>
          <w:sz w:val="32"/>
          <w:szCs w:val="32"/>
        </w:rPr>
      </w:pPr>
      <w:r>
        <w:rPr>
          <w:rFonts w:hint="eastAsia" w:ascii="楷体_GB2312" w:hAnsi="楷体_GB2312" w:eastAsia="楷体_GB2312"/>
          <w:b/>
          <w:bCs/>
          <w:color w:val="000000" w:themeColor="text1"/>
          <w:kern w:val="21"/>
          <w:sz w:val="32"/>
          <w:szCs w:val="32"/>
        </w:rPr>
        <w:t>提升安全应急处置能力。</w:t>
      </w:r>
      <w:r>
        <w:rPr>
          <w:rFonts w:hint="eastAsia" w:ascii="仿宋_GB2312" w:eastAsia="仿宋_GB2312"/>
          <w:color w:val="000000" w:themeColor="text1"/>
          <w:kern w:val="21"/>
          <w:sz w:val="32"/>
          <w:szCs w:val="32"/>
        </w:rPr>
        <w:t>完善跨领域网络安全信息共享和工作协同机制，建设全天候、全方位、全领域、全覆盖的网络安全态势感知平台。制定和完善网络安全事件应急处置专项预案，建立应急预案的定期研讨、更新修订以及培训工作机制，持续提高网络信息安全风险防范、监测、预警和应急处置能力。加强网络安全应急处置技术支撑队伍建设，健全高效统一的网络安全应急处置机制，进行实战化、常态化的网络安全攻防演练，不断完善网络安全应急机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33"/>
              <w:spacing w:before="0" w:after="0" w:line="600" w:lineRule="exact"/>
              <w:jc w:val="center"/>
              <w:rPr>
                <w:color w:val="000000" w:themeColor="text1"/>
              </w:rPr>
            </w:pPr>
            <w:r>
              <w:rPr>
                <w:rFonts w:hint="eastAsia" w:ascii="黑体" w:hAnsi="黑体" w:eastAsia="黑体"/>
                <w:color w:val="000000" w:themeColor="text1"/>
                <w:kern w:val="21"/>
                <w:sz w:val="30"/>
                <w:szCs w:val="30"/>
              </w:rPr>
              <w:t>专栏</w:t>
            </w:r>
            <w:r>
              <w:rPr>
                <w:rFonts w:ascii="黑体" w:hAnsi="黑体" w:eastAsia="黑体"/>
                <w:color w:val="000000" w:themeColor="text1"/>
                <w:kern w:val="21"/>
                <w:sz w:val="30"/>
                <w:szCs w:val="30"/>
              </w:rPr>
              <w:t xml:space="preserve">19 </w:t>
            </w:r>
            <w:r>
              <w:rPr>
                <w:rFonts w:hint="eastAsia" w:ascii="黑体" w:hAnsi="黑体" w:eastAsia="黑体"/>
                <w:color w:val="000000" w:themeColor="text1"/>
                <w:kern w:val="21"/>
                <w:sz w:val="30"/>
                <w:szCs w:val="30"/>
              </w:rPr>
              <w:t>推动数字生态健康发展重点工程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djustRightInd w:val="0"/>
              <w:snapToGrid w:val="0"/>
              <w:spacing w:line="520" w:lineRule="exact"/>
              <w:ind w:firstLine="602" w:firstLineChars="200"/>
              <w:rPr>
                <w:rFonts w:ascii="楷体_GB2312" w:hAnsi="楷体_GB2312" w:eastAsia="楷体_GB2312"/>
                <w:bCs/>
                <w:color w:val="000000" w:themeColor="text1"/>
                <w:kern w:val="21"/>
                <w:sz w:val="30"/>
                <w:szCs w:val="30"/>
              </w:rPr>
            </w:pPr>
            <w:r>
              <w:rPr>
                <w:rFonts w:hint="eastAsia" w:ascii="楷体_GB2312" w:hAnsi="楷体_GB2312" w:eastAsia="楷体_GB2312"/>
                <w:b/>
                <w:color w:val="000000" w:themeColor="text1"/>
                <w:kern w:val="21"/>
                <w:sz w:val="30"/>
                <w:szCs w:val="30"/>
              </w:rPr>
              <w:t>数据开放示范工程：</w:t>
            </w:r>
            <w:r>
              <w:rPr>
                <w:rFonts w:hint="eastAsia" w:ascii="楷体_GB2312" w:hAnsi="楷体_GB2312" w:eastAsia="楷体_GB2312"/>
                <w:bCs/>
                <w:color w:val="000000" w:themeColor="text1"/>
                <w:kern w:val="21"/>
                <w:sz w:val="30"/>
                <w:szCs w:val="30"/>
              </w:rPr>
              <w:t>积极探索数据要素市场化和资产化，重点做好管理基础建设和试点推进工作，探索建立分行业、分场景的可控数据开放机制，优先开放社会需要、民生相关、效益明显的公共数据，安全有序推进公共数据与社会数据的融合创新和开放应用。</w:t>
            </w:r>
          </w:p>
          <w:p>
            <w:pPr>
              <w:adjustRightInd w:val="0"/>
              <w:snapToGrid w:val="0"/>
              <w:spacing w:line="520" w:lineRule="exact"/>
              <w:ind w:firstLine="602" w:firstLineChars="200"/>
              <w:rPr>
                <w:color w:val="000000" w:themeColor="text1"/>
                <w:kern w:val="0"/>
                <w:sz w:val="20"/>
              </w:rPr>
            </w:pPr>
            <w:r>
              <w:rPr>
                <w:rFonts w:hint="eastAsia" w:ascii="楷体_GB2312" w:hAnsi="楷体_GB2312" w:eastAsia="楷体_GB2312"/>
                <w:b/>
                <w:color w:val="000000" w:themeColor="text1"/>
                <w:kern w:val="21"/>
                <w:sz w:val="30"/>
                <w:szCs w:val="30"/>
              </w:rPr>
              <w:t>建设网络安全协调指挥平台：</w:t>
            </w:r>
            <w:r>
              <w:rPr>
                <w:rFonts w:hint="eastAsia" w:ascii="楷体_GB2312" w:hAnsi="楷体_GB2312" w:eastAsia="楷体_GB2312"/>
                <w:bCs/>
                <w:color w:val="000000" w:themeColor="text1"/>
                <w:kern w:val="21"/>
                <w:sz w:val="30"/>
                <w:szCs w:val="30"/>
              </w:rPr>
              <w:t>建设市、县两级联动的网络安全协调指挥平台，建设完善跨领域、跨业务、跨层级的一体化应用汇聚管理与协同支撑系统，连通各级党政机关和重点企业，集信息汇聚、态势感知、预警通报、协同处置及协调指挥功能为一体，构建全市横向协调、纵向指挥的网络安全协调指挥体系，支撑数字化改革应用综合集成、统一部署、全区共用。完善关键信息基础设施名录，优化关键信息基础设施网络安全监督管理平台，提升网络安全综合防护管理能力。</w:t>
            </w:r>
          </w:p>
        </w:tc>
      </w:tr>
    </w:tbl>
    <w:p>
      <w:pPr>
        <w:pStyle w:val="2"/>
        <w:rPr>
          <w:color w:val="000000" w:themeColor="text1"/>
        </w:rPr>
      </w:pPr>
    </w:p>
    <w:p>
      <w:pPr>
        <w:pStyle w:val="4"/>
        <w:keepNext w:val="0"/>
        <w:keepLines w:val="0"/>
        <w:adjustRightInd w:val="0"/>
        <w:snapToGrid w:val="0"/>
        <w:spacing w:before="0" w:after="0" w:line="610" w:lineRule="exact"/>
        <w:ind w:firstLine="720"/>
        <w:jc w:val="both"/>
        <w:rPr>
          <w:rFonts w:ascii="Times New Roman" w:hAnsi="Times New Roman" w:eastAsia="方正黑体_GBK" w:cs="方正黑体_GBK"/>
          <w:b w:val="0"/>
          <w:color w:val="000000" w:themeColor="text1"/>
          <w:kern w:val="21"/>
          <w:szCs w:val="36"/>
        </w:rPr>
      </w:pPr>
      <w:bookmarkStart w:id="94" w:name="_Toc93410029"/>
      <w:r>
        <w:rPr>
          <w:rFonts w:hint="eastAsia" w:ascii="Times New Roman" w:hAnsi="Times New Roman" w:eastAsia="方正黑体_GBK" w:cs="方正黑体_GBK"/>
          <w:b w:val="0"/>
          <w:color w:val="000000" w:themeColor="text1"/>
          <w:kern w:val="21"/>
          <w:szCs w:val="36"/>
        </w:rPr>
        <w:t>五、保障措施</w:t>
      </w:r>
      <w:bookmarkEnd w:id="94"/>
    </w:p>
    <w:p>
      <w:pPr>
        <w:pStyle w:val="5"/>
        <w:keepNext w:val="0"/>
        <w:keepLines w:val="0"/>
        <w:adjustRightInd w:val="0"/>
        <w:snapToGrid w:val="0"/>
        <w:spacing w:before="0" w:after="0" w:line="610" w:lineRule="exact"/>
        <w:ind w:firstLine="643"/>
        <w:jc w:val="both"/>
        <w:rPr>
          <w:rFonts w:ascii="楷体_GB2312" w:hAnsi="楷体_GB2312" w:cs="方正楷体_GBK"/>
          <w:bCs w:val="0"/>
          <w:color w:val="000000" w:themeColor="text1"/>
          <w:kern w:val="21"/>
        </w:rPr>
      </w:pPr>
      <w:bookmarkStart w:id="95" w:name="_Toc60833125"/>
      <w:bookmarkStart w:id="96" w:name="_Toc93410030"/>
      <w:r>
        <w:rPr>
          <w:rFonts w:hint="eastAsia" w:ascii="楷体_GB2312" w:hAnsi="楷体_GB2312" w:cs="方正楷体_GBK"/>
          <w:bCs w:val="0"/>
          <w:color w:val="000000" w:themeColor="text1"/>
          <w:kern w:val="21"/>
        </w:rPr>
        <w:t>（一）坚持党建引领</w:t>
      </w:r>
      <w:bookmarkEnd w:id="95"/>
      <w:bookmarkEnd w:id="96"/>
    </w:p>
    <w:p>
      <w:pPr>
        <w:spacing w:line="610" w:lineRule="exact"/>
        <w:ind w:right="-15" w:rightChars="-7" w:firstLine="63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市委统筹，成立专班，高位推动，着力解决有关重大问题，将数字玉林建设融入党的建设和经济社会发展全过程。完善数字玉林推进机制，在工作范畴、管理职能、服务保障、人员培养、信息化建设等方面进行组织和流程再造，构建完善党委领导、政府负责、民主协商、社会协同、公众参与、法治保障、科技支撑的数字玉林统筹管理体系，推进市域社会治理体系和治理能力现代化。</w:t>
      </w:r>
    </w:p>
    <w:p>
      <w:pPr>
        <w:pStyle w:val="5"/>
        <w:keepNext w:val="0"/>
        <w:keepLines w:val="0"/>
        <w:adjustRightInd w:val="0"/>
        <w:snapToGrid w:val="0"/>
        <w:spacing w:before="0" w:after="0" w:line="610" w:lineRule="exact"/>
        <w:ind w:firstLine="643"/>
        <w:jc w:val="both"/>
        <w:rPr>
          <w:rFonts w:ascii="楷体_GB2312" w:hAnsi="楷体_GB2312" w:cs="方正楷体_GBK"/>
          <w:bCs w:val="0"/>
          <w:color w:val="000000" w:themeColor="text1"/>
          <w:kern w:val="21"/>
        </w:rPr>
      </w:pPr>
      <w:bookmarkStart w:id="97" w:name="_Toc60833126"/>
      <w:bookmarkStart w:id="98" w:name="_Toc93410031"/>
      <w:r>
        <w:rPr>
          <w:rFonts w:hint="eastAsia" w:ascii="楷体_GB2312" w:hAnsi="楷体_GB2312" w:cs="方正楷体_GBK"/>
          <w:bCs w:val="0"/>
          <w:color w:val="000000" w:themeColor="text1"/>
          <w:kern w:val="21"/>
        </w:rPr>
        <w:t>（二）加强组织</w:t>
      </w:r>
      <w:bookmarkEnd w:id="97"/>
      <w:r>
        <w:rPr>
          <w:rFonts w:hint="eastAsia" w:ascii="楷体_GB2312" w:hAnsi="楷体_GB2312" w:cs="方正楷体_GBK"/>
          <w:bCs w:val="0"/>
          <w:color w:val="000000" w:themeColor="text1"/>
          <w:kern w:val="21"/>
        </w:rPr>
        <w:t>领导</w:t>
      </w:r>
      <w:bookmarkEnd w:id="98"/>
    </w:p>
    <w:p>
      <w:pPr>
        <w:spacing w:line="61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成立高规格的数字城市建设领导小组，下设领导小组办公室，统筹协调数字城市建设工作，完善顶层设计和工作机制，培育数字经济新动能，加强全市各部门数字化统筹建设引导，健全协调联动、督查督办、评价反馈等机制，协调推进各项重点任务、重点工程和优先行动，进一步推进政务数据资源整合。建立数字玉林专家咨询委员会，发挥高端智囊的前瞻性、高水平决策咨询和技术支撑作用。搭建“一个领导小组统筹协调、一个局委指导业务、一个专家委权威咨询、多元主体协同共建”的“玉林模式”。</w:t>
      </w:r>
    </w:p>
    <w:p>
      <w:pPr>
        <w:pStyle w:val="5"/>
        <w:keepNext w:val="0"/>
        <w:keepLines w:val="0"/>
        <w:adjustRightInd w:val="0"/>
        <w:snapToGrid w:val="0"/>
        <w:spacing w:before="0" w:after="0" w:line="610" w:lineRule="exact"/>
        <w:ind w:firstLine="643"/>
        <w:jc w:val="both"/>
        <w:rPr>
          <w:rFonts w:ascii="楷体_GB2312" w:hAnsi="楷体_GB2312" w:cs="方正楷体_GBK"/>
          <w:bCs w:val="0"/>
          <w:color w:val="000000" w:themeColor="text1"/>
          <w:kern w:val="21"/>
        </w:rPr>
      </w:pPr>
      <w:bookmarkStart w:id="99" w:name="_Toc93410032"/>
      <w:r>
        <w:rPr>
          <w:rFonts w:hint="eastAsia" w:ascii="楷体_GB2312" w:hAnsi="楷体_GB2312" w:cs="方正楷体_GBK"/>
          <w:bCs w:val="0"/>
          <w:color w:val="000000" w:themeColor="text1"/>
          <w:kern w:val="21"/>
        </w:rPr>
        <w:t>（三）落实</w:t>
      </w:r>
      <w:r>
        <w:rPr>
          <w:rFonts w:ascii="楷体_GB2312" w:hAnsi="楷体_GB2312" w:cs="方正楷体_GBK"/>
          <w:bCs w:val="0"/>
          <w:color w:val="000000" w:themeColor="text1"/>
          <w:kern w:val="21"/>
        </w:rPr>
        <w:t>资金</w:t>
      </w:r>
      <w:r>
        <w:rPr>
          <w:rFonts w:hint="eastAsia" w:ascii="楷体_GB2312" w:hAnsi="楷体_GB2312" w:cs="方正楷体_GBK"/>
          <w:bCs w:val="0"/>
          <w:color w:val="000000" w:themeColor="text1"/>
          <w:kern w:val="21"/>
        </w:rPr>
        <w:t>保障</w:t>
      </w:r>
      <w:bookmarkEnd w:id="99"/>
    </w:p>
    <w:p>
      <w:pPr>
        <w:spacing w:line="610" w:lineRule="exact"/>
        <w:ind w:firstLine="640" w:firstLineChars="200"/>
        <w:rPr>
          <w:rFonts w:ascii="仿宋_GB2312" w:hAnsi="仿宋" w:eastAsia="仿宋_GB2312"/>
          <w:color w:val="000000" w:themeColor="text1"/>
          <w:sz w:val="32"/>
          <w:szCs w:val="32"/>
        </w:rPr>
      </w:pPr>
      <w:r>
        <w:rPr>
          <w:rFonts w:ascii="仿宋_GB2312" w:hAnsi="仿宋" w:eastAsia="仿宋_GB2312"/>
          <w:color w:val="000000" w:themeColor="text1"/>
          <w:sz w:val="32"/>
          <w:szCs w:val="32"/>
        </w:rPr>
        <w:t>强化各类信息化建设资金统筹，鼓励各区（市）县、产业集聚区优化数字经济扶持政策体系，发挥专项资金带动作用，引导相关创新及产业发展专项资金向数字玉林建设倾斜，盘活现有资源，通过以奖代补、贴息、股权投资等方式，加大财政资金对数字化发展重点领域、重大项目、重大工程、重大平台的支持。积极探索政府和社会资本合作，引导各类社会资本参与数字玉林建设和运营，鼓励天使基金、创投基金、产业基金等各类投资机构参与数字玉林建设，丰富拓展多层次投资体系。鼓励本地金融机构提供企业技改贷款、技改保险等金融产品，提高数字经济中小企业抗风险能力。</w:t>
      </w:r>
    </w:p>
    <w:p>
      <w:pPr>
        <w:pStyle w:val="5"/>
        <w:keepNext w:val="0"/>
        <w:keepLines w:val="0"/>
        <w:adjustRightInd w:val="0"/>
        <w:snapToGrid w:val="0"/>
        <w:spacing w:before="0" w:after="0" w:line="610" w:lineRule="exact"/>
        <w:ind w:firstLine="643"/>
        <w:jc w:val="both"/>
        <w:rPr>
          <w:rFonts w:ascii="楷体_GB2312" w:hAnsi="楷体_GB2312" w:cs="方正楷体_GBK"/>
          <w:bCs w:val="0"/>
          <w:color w:val="000000" w:themeColor="text1"/>
          <w:kern w:val="21"/>
        </w:rPr>
      </w:pPr>
      <w:bookmarkStart w:id="100" w:name="_Toc93410033"/>
      <w:r>
        <w:rPr>
          <w:rFonts w:hint="eastAsia" w:ascii="楷体_GB2312" w:hAnsi="楷体_GB2312" w:cs="方正楷体_GBK"/>
          <w:bCs w:val="0"/>
          <w:color w:val="000000" w:themeColor="text1"/>
          <w:kern w:val="21"/>
        </w:rPr>
        <w:t>（四）完善项目管理</w:t>
      </w:r>
      <w:bookmarkEnd w:id="100"/>
    </w:p>
    <w:p>
      <w:pPr>
        <w:spacing w:line="61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加强市县区项目统筹，健全完善自治区顶层指导、主管部门协同、市县区联动的项目审核机制。项目实施单位要</w:t>
      </w:r>
      <w:r>
        <w:rPr>
          <w:rFonts w:hint="eastAsia" w:ascii="仿宋_GB2312" w:hAnsi="仿宋" w:eastAsia="仿宋_GB2312"/>
          <w:color w:val="000000" w:themeColor="text1"/>
          <w:kern w:val="0"/>
          <w:sz w:val="32"/>
          <w:szCs w:val="32"/>
        </w:rPr>
        <w:t>参照市重大建设项目推进机制，成立专班，制定详细推进计划，落实工作责任，</w:t>
      </w:r>
      <w:r>
        <w:rPr>
          <w:rFonts w:hint="eastAsia" w:ascii="仿宋_GB2312" w:hAnsi="仿宋" w:eastAsia="仿宋_GB2312"/>
          <w:color w:val="000000" w:themeColor="text1"/>
          <w:sz w:val="32"/>
          <w:szCs w:val="32"/>
        </w:rPr>
        <w:t>建立项目验收、预算绩效评价、专项审计、基层用户评价相结合的绩效评估机制。制定出台《玉林市数字化项目管理办法》，健全完善数字化项目专项资金管理机制，健全完善专家咨询机制。积极探索“一地创新、全域共享共用”的复制推广模式。按照“资金跟着项目走”的要求，集中精力抓好项目建设，推动形成“竣工一批、建设一批、开工一批、储备一批、投产一批”的良性格局。</w:t>
      </w:r>
    </w:p>
    <w:p>
      <w:pPr>
        <w:pStyle w:val="5"/>
        <w:keepNext w:val="0"/>
        <w:keepLines w:val="0"/>
        <w:adjustRightInd w:val="0"/>
        <w:snapToGrid w:val="0"/>
        <w:spacing w:before="0" w:after="0" w:line="610" w:lineRule="exact"/>
        <w:ind w:firstLine="643"/>
        <w:jc w:val="both"/>
        <w:rPr>
          <w:rFonts w:ascii="楷体_GB2312" w:hAnsi="楷体_GB2312" w:cs="方正楷体_GBK"/>
          <w:bCs w:val="0"/>
          <w:color w:val="000000" w:themeColor="text1"/>
          <w:kern w:val="21"/>
        </w:rPr>
      </w:pPr>
      <w:bookmarkStart w:id="101" w:name="_Toc54273962"/>
      <w:bookmarkStart w:id="102" w:name="_Toc60833127"/>
      <w:bookmarkStart w:id="103" w:name="_Toc93410034"/>
      <w:r>
        <w:rPr>
          <w:rFonts w:hint="eastAsia" w:ascii="楷体_GB2312" w:hAnsi="楷体_GB2312" w:cs="方正楷体_GBK"/>
          <w:bCs w:val="0"/>
          <w:color w:val="000000" w:themeColor="text1"/>
          <w:kern w:val="21"/>
        </w:rPr>
        <w:t>（五）强化人才保障</w:t>
      </w:r>
      <w:bookmarkEnd w:id="101"/>
      <w:bookmarkEnd w:id="102"/>
      <w:bookmarkEnd w:id="103"/>
    </w:p>
    <w:p>
      <w:pPr>
        <w:spacing w:line="610" w:lineRule="exact"/>
        <w:ind w:right="-15" w:rightChars="-7" w:firstLine="630"/>
      </w:pPr>
      <w:r>
        <w:rPr>
          <w:rFonts w:ascii="仿宋_GB2312" w:hAnsi="仿宋" w:eastAsia="仿宋_GB2312"/>
          <w:color w:val="000000" w:themeColor="text1"/>
          <w:sz w:val="32"/>
          <w:szCs w:val="32"/>
        </w:rPr>
        <w:t>制定适应玉林数字治理发展要求的人才战略和措施，建立数字玉林建设专家咨询委员会，增强智力支撑，切实提升数字玉林规划和建设水平。建立人才培养、引进、流动和使用机制，</w:t>
      </w:r>
      <w:r>
        <w:rPr>
          <w:rFonts w:hint="eastAsia" w:ascii="仿宋_GB2312" w:hAnsi="仿宋" w:eastAsia="仿宋_GB2312"/>
          <w:color w:val="000000" w:themeColor="text1"/>
          <w:sz w:val="32"/>
          <w:szCs w:val="32"/>
        </w:rPr>
        <w:t>重点鼓励玉林市内高校开设数字经济相关专业，通过“大学+政府+企业”的产学融创模式协同培养一批数字人才同时</w:t>
      </w:r>
      <w:r>
        <w:rPr>
          <w:rFonts w:ascii="仿宋_GB2312" w:hAnsi="仿宋" w:eastAsia="仿宋_GB2312"/>
          <w:color w:val="000000" w:themeColor="text1"/>
          <w:sz w:val="32"/>
          <w:szCs w:val="32"/>
        </w:rPr>
        <w:t>加快引进一批数字化领域学科带头人、行业领军人才和高级管理人才参与数字玉林建设；加强全</w:t>
      </w:r>
      <w:r>
        <w:rPr>
          <w:rFonts w:hint="eastAsia" w:ascii="仿宋_GB2312" w:hAnsi="仿宋" w:eastAsia="仿宋_GB2312"/>
          <w:color w:val="000000" w:themeColor="text1"/>
          <w:sz w:val="32"/>
          <w:szCs w:val="32"/>
        </w:rPr>
        <w:t>市</w:t>
      </w:r>
      <w:r>
        <w:rPr>
          <w:rFonts w:ascii="仿宋_GB2312" w:hAnsi="仿宋" w:eastAsia="仿宋_GB2312"/>
          <w:color w:val="000000" w:themeColor="text1"/>
          <w:sz w:val="32"/>
          <w:szCs w:val="32"/>
        </w:rPr>
        <w:t>数字化管理队伍建设，着力培养业务技术复合型人才；以数字链推动人才链优化升级，加速数字化融合提高人才资源配置效率，打造与新发展阶段相适应的人才治理体系；加快数字链推动人才链优化升级，以数字化融合提高人才资源配置效率，打造与新发展阶段相适应的人才治理体系。在</w:t>
      </w:r>
      <w:r>
        <w:rPr>
          <w:rFonts w:hint="eastAsia" w:ascii="仿宋_GB2312" w:hAnsi="仿宋" w:eastAsia="仿宋_GB2312"/>
          <w:color w:val="000000" w:themeColor="text1"/>
          <w:sz w:val="32"/>
          <w:szCs w:val="32"/>
        </w:rPr>
        <w:t>财政补助、子女入学、入院就医等</w:t>
      </w:r>
      <w:r>
        <w:rPr>
          <w:rFonts w:ascii="仿宋_GB2312" w:hAnsi="仿宋" w:eastAsia="仿宋_GB2312"/>
          <w:color w:val="000000" w:themeColor="text1"/>
          <w:sz w:val="32"/>
          <w:szCs w:val="32"/>
        </w:rPr>
        <w:t>方面增强对数字领域高层次人才和专业技术实用型人才吸引力和凝聚力。</w:t>
      </w:r>
    </w:p>
    <w:p>
      <w:pPr>
        <w:pStyle w:val="5"/>
        <w:keepNext w:val="0"/>
        <w:keepLines w:val="0"/>
        <w:adjustRightInd w:val="0"/>
        <w:snapToGrid w:val="0"/>
        <w:spacing w:before="0" w:after="0" w:line="610" w:lineRule="exact"/>
        <w:ind w:firstLine="643"/>
        <w:jc w:val="both"/>
        <w:rPr>
          <w:rFonts w:ascii="楷体_GB2312" w:hAnsi="楷体_GB2312" w:cs="方正楷体_GBK"/>
          <w:bCs w:val="0"/>
          <w:color w:val="000000" w:themeColor="text1"/>
          <w:kern w:val="21"/>
        </w:rPr>
      </w:pPr>
      <w:bookmarkStart w:id="104" w:name="_Toc93410035"/>
      <w:r>
        <w:rPr>
          <w:rFonts w:hint="eastAsia" w:ascii="楷体_GB2312" w:hAnsi="楷体_GB2312" w:cs="方正楷体_GBK"/>
          <w:bCs w:val="0"/>
          <w:color w:val="000000" w:themeColor="text1"/>
          <w:kern w:val="21"/>
        </w:rPr>
        <w:t>（六）加大宣传推介</w:t>
      </w:r>
      <w:bookmarkEnd w:id="104"/>
    </w:p>
    <w:p>
      <w:pPr>
        <w:widowControl/>
        <w:spacing w:line="61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围绕中心、服务大局，多宣传玉林、多推介玉林，为加快建设“四强两区一美”两湾先行试验区凝聚力量。重点把镜头、笔触、话筒对准数字玉林发展的重点领域、重要任务、重大活动，精心策划一系列宣传活动，进一步加强对玉林的宣传、推介与展示。要深入细致地研究中央、自治区发布的政策和信息，找准切入点和突破口，对照各个领域进行认真梳理，围绕已形成的既定思路和工作布局，紧紧抓住项目建设这个牛鼻子，积极做好向上争取扶持政策和项目资金工作。</w:t>
      </w:r>
    </w:p>
    <w:p>
      <w:pPr>
        <w:pStyle w:val="5"/>
        <w:keepNext w:val="0"/>
        <w:keepLines w:val="0"/>
        <w:adjustRightInd w:val="0"/>
        <w:snapToGrid w:val="0"/>
        <w:spacing w:before="0" w:after="0" w:line="610" w:lineRule="exact"/>
        <w:ind w:firstLine="643"/>
        <w:jc w:val="both"/>
        <w:rPr>
          <w:rFonts w:ascii="楷体_GB2312" w:hAnsi="楷体_GB2312" w:cs="方正楷体_GBK"/>
          <w:bCs w:val="0"/>
          <w:color w:val="000000" w:themeColor="text1"/>
          <w:kern w:val="21"/>
        </w:rPr>
      </w:pPr>
      <w:bookmarkStart w:id="105" w:name="_Toc93410036"/>
      <w:r>
        <w:rPr>
          <w:rFonts w:hint="eastAsia" w:ascii="楷体_GB2312" w:hAnsi="楷体_GB2312" w:cs="方正楷体_GBK"/>
          <w:bCs w:val="0"/>
          <w:color w:val="000000" w:themeColor="text1"/>
          <w:kern w:val="21"/>
        </w:rPr>
        <w:t>（七）优化营商环境</w:t>
      </w:r>
      <w:bookmarkEnd w:id="105"/>
    </w:p>
    <w:p>
      <w:pPr>
        <w:widowControl/>
        <w:spacing w:line="610" w:lineRule="exact"/>
        <w:ind w:firstLine="640" w:firstLineChars="200"/>
        <w:rPr>
          <w:color w:val="000000" w:themeColor="text1"/>
        </w:rPr>
      </w:pPr>
      <w:r>
        <w:rPr>
          <w:rFonts w:hint="eastAsia" w:ascii="仿宋_GB2312" w:eastAsia="仿宋_GB2312"/>
          <w:color w:val="000000" w:themeColor="text1"/>
          <w:sz w:val="32"/>
          <w:szCs w:val="32"/>
        </w:rPr>
        <w:t>切实改善政务环境，提高政府服务能效，优化重大项目相关投资的审批程序，精简审批环节，缩短办理时限，推行“一网通办”。维护良好市场环境，进一步提升政策支持、标准规范、资源开放等方面的科学性、灵活性和针对性，创建稳定公平透明的营商环境。打造优质投资环境，围绕玉林市行业发展现状和需求，加大企业家宣传培训力度，宣传国家、自治区。市有关产业政策，及时总结先进典型经验和做法，依托线上线下多种媒体渠道进行全方位多角度的宣传推广，进一步降低企业的用地、用气、用水、物流等成本，优化民营经济发展环境，持续激发市场活力和社会创造力，助力传统产业数字化迭代升级和数字产业培育发展，促进玉林数字经济高质量发展。</w:t>
      </w:r>
    </w:p>
    <w:p>
      <w:pPr>
        <w:pStyle w:val="5"/>
        <w:keepNext w:val="0"/>
        <w:keepLines w:val="0"/>
        <w:adjustRightInd w:val="0"/>
        <w:snapToGrid w:val="0"/>
        <w:spacing w:before="0" w:after="0" w:line="610" w:lineRule="exact"/>
        <w:ind w:firstLine="643"/>
        <w:jc w:val="both"/>
        <w:rPr>
          <w:rFonts w:ascii="楷体_GB2312" w:hAnsi="楷体_GB2312" w:cs="方正楷体_GBK"/>
          <w:bCs w:val="0"/>
          <w:color w:val="000000" w:themeColor="text1"/>
          <w:kern w:val="21"/>
        </w:rPr>
      </w:pPr>
      <w:bookmarkStart w:id="106" w:name="_Toc93410037"/>
      <w:r>
        <w:rPr>
          <w:rFonts w:hint="eastAsia" w:ascii="楷体_GB2312" w:hAnsi="楷体_GB2312" w:cs="方正楷体_GBK"/>
          <w:bCs w:val="0"/>
          <w:color w:val="000000" w:themeColor="text1"/>
          <w:kern w:val="21"/>
        </w:rPr>
        <w:t>（八）加强</w:t>
      </w:r>
      <w:r>
        <w:rPr>
          <w:rFonts w:ascii="楷体_GB2312" w:hAnsi="楷体_GB2312" w:cs="方正楷体_GBK"/>
          <w:bCs w:val="0"/>
          <w:color w:val="000000" w:themeColor="text1"/>
          <w:kern w:val="21"/>
        </w:rPr>
        <w:t>监测评估</w:t>
      </w:r>
      <w:bookmarkEnd w:id="106"/>
    </w:p>
    <w:p>
      <w:pPr>
        <w:widowControl/>
        <w:spacing w:line="610" w:lineRule="exact"/>
        <w:ind w:firstLine="640" w:firstLineChars="200"/>
        <w:rPr>
          <w:b/>
          <w:color w:val="000000" w:themeColor="text1"/>
          <w:sz w:val="32"/>
          <w:szCs w:val="32"/>
        </w:rPr>
      </w:pPr>
      <w:r>
        <w:rPr>
          <w:rFonts w:hint="eastAsia" w:ascii="仿宋_GB2312" w:eastAsia="仿宋_GB2312"/>
          <w:color w:val="000000" w:themeColor="text1"/>
          <w:sz w:val="32"/>
          <w:szCs w:val="32"/>
        </w:rPr>
        <w:t>整合数字政府、城市大脑等重点任务的现行标准，构建一体化协同的数字政府标准体系框架，建立数字玉林建设工作动态考核评价体系，细化考核标准，并将其纳入市政府综合考核范围。构建信息化项目第三方咨询评估机制，加强项目建设前期可行性研究；健全完善规划实施评估机制，开展年度监测分析、中期评估；强化项目后期运维、推广等方面的绩效评价；探索建立信息化项目标准体系流程，切实提高项目建设效益。</w:t>
      </w:r>
    </w:p>
    <w:sectPr>
      <w:footnotePr>
        <w:numFmt w:val="chicago"/>
      </w:footnote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0000000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sz w:val="22"/>
        <w:szCs w:val="22"/>
      </w:rPr>
    </w:pPr>
    <w:r>
      <w:rPr>
        <w:rFonts w:hint="eastAsia"/>
        <w:sz w:val="22"/>
        <w:szCs w:val="22"/>
      </w:rPr>
      <w:t>-</w:t>
    </w:r>
    <w:sdt>
      <w:sdtPr>
        <w:rPr>
          <w:sz w:val="22"/>
          <w:szCs w:val="22"/>
        </w:rPr>
        <w:id w:val="794025439"/>
        <w:docPartObj>
          <w:docPartGallery w:val="autotext"/>
        </w:docPartObj>
      </w:sdtPr>
      <w:sdtEndPr>
        <w:rPr>
          <w:sz w:val="22"/>
          <w:szCs w:val="22"/>
        </w:rPr>
      </w:sdtEndPr>
      <w:sdtContent>
        <w:r>
          <w:rPr>
            <w:sz w:val="22"/>
            <w:szCs w:val="22"/>
          </w:rPr>
          <w:fldChar w:fldCharType="begin"/>
        </w:r>
        <w:r>
          <w:rPr>
            <w:sz w:val="22"/>
            <w:szCs w:val="22"/>
          </w:rPr>
          <w:instrText xml:space="preserve">PAGE   \* MERGEFORMAT</w:instrText>
        </w:r>
        <w:r>
          <w:rPr>
            <w:sz w:val="22"/>
            <w:szCs w:val="22"/>
          </w:rPr>
          <w:fldChar w:fldCharType="separate"/>
        </w:r>
        <w:r>
          <w:rPr>
            <w:sz w:val="22"/>
            <w:szCs w:val="22"/>
            <w:lang w:val="zh-CN"/>
          </w:rPr>
          <w:t>89</w:t>
        </w:r>
        <w:r>
          <w:rPr>
            <w:sz w:val="22"/>
            <w:szCs w:val="22"/>
          </w:rPr>
          <w:fldChar w:fldCharType="end"/>
        </w:r>
        <w:r>
          <w:rPr>
            <w:rFonts w:hint="eastAsia"/>
            <w:sz w:val="22"/>
            <w:szCs w:val="22"/>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sz w:val="22"/>
        <w:szCs w:val="22"/>
      </w:rPr>
    </w:pPr>
    <w:r>
      <w:rPr>
        <w:rFonts w:hint="eastAsia"/>
        <w:sz w:val="22"/>
        <w:szCs w:val="22"/>
      </w:rPr>
      <w:t>-</w:t>
    </w:r>
    <w:sdt>
      <w:sdtPr>
        <w:rPr>
          <w:sz w:val="22"/>
          <w:szCs w:val="22"/>
        </w:rPr>
        <w:id w:val="1562526024"/>
        <w:docPartObj>
          <w:docPartGallery w:val="autotext"/>
        </w:docPartObj>
      </w:sdtPr>
      <w:sdtEndPr>
        <w:rPr>
          <w:sz w:val="22"/>
          <w:szCs w:val="22"/>
        </w:rPr>
      </w:sdtEndPr>
      <w:sdtContent>
        <w:r>
          <w:rPr>
            <w:sz w:val="22"/>
            <w:szCs w:val="22"/>
          </w:rPr>
          <w:fldChar w:fldCharType="begin"/>
        </w:r>
        <w:r>
          <w:rPr>
            <w:sz w:val="22"/>
            <w:szCs w:val="22"/>
          </w:rPr>
          <w:instrText xml:space="preserve">PAGE   \* MERGEFORMAT</w:instrText>
        </w:r>
        <w:r>
          <w:rPr>
            <w:sz w:val="22"/>
            <w:szCs w:val="22"/>
          </w:rPr>
          <w:fldChar w:fldCharType="separate"/>
        </w:r>
        <w:r>
          <w:rPr>
            <w:sz w:val="22"/>
            <w:szCs w:val="22"/>
            <w:lang w:val="zh-CN"/>
          </w:rPr>
          <w:t>90</w:t>
        </w:r>
        <w:r>
          <w:rPr>
            <w:sz w:val="22"/>
            <w:szCs w:val="22"/>
          </w:rPr>
          <w:fldChar w:fldCharType="end"/>
        </w:r>
        <w:r>
          <w:rPr>
            <w:rFonts w:hint="eastAsia"/>
            <w:sz w:val="22"/>
            <w:szCs w:val="22"/>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17"/>
        <w:jc w:val="both"/>
        <w:rPr>
          <w:rFonts w:ascii="楷体_GB2312" w:hAnsi="楷体_GB2312" w:eastAsia="楷体_GB2312"/>
          <w:sz w:val="22"/>
          <w:szCs w:val="22"/>
        </w:rPr>
      </w:pPr>
      <w:r>
        <w:rPr>
          <w:rStyle w:val="27"/>
          <w:rFonts w:ascii="楷体_GB2312" w:hAnsi="楷体_GB2312" w:eastAsia="楷体_GB2312"/>
          <w:sz w:val="22"/>
          <w:szCs w:val="22"/>
        </w:rPr>
        <w:footnoteRef/>
      </w:r>
      <w:r>
        <w:rPr>
          <w:rFonts w:ascii="楷体_GB2312" w:hAnsi="楷体_GB2312" w:eastAsia="楷体_GB2312"/>
          <w:sz w:val="22"/>
          <w:szCs w:val="22"/>
        </w:rPr>
        <w:t xml:space="preserve"> </w:t>
      </w:r>
      <w:r>
        <w:rPr>
          <w:rFonts w:hint="eastAsia" w:ascii="楷体_GB2312" w:hAnsi="楷体_GB2312" w:eastAsia="楷体_GB2312"/>
          <w:sz w:val="22"/>
          <w:szCs w:val="22"/>
        </w:rPr>
        <w:t>“</w:t>
      </w:r>
      <w:r>
        <w:rPr>
          <w:rFonts w:eastAsia="楷体_GB2312"/>
          <w:sz w:val="22"/>
          <w:szCs w:val="22"/>
        </w:rPr>
        <w:t>5+6</w:t>
      </w:r>
      <w:r>
        <w:rPr>
          <w:rFonts w:hint="eastAsia" w:ascii="楷体_GB2312" w:hAnsi="楷体_GB2312" w:eastAsia="楷体_GB2312"/>
          <w:sz w:val="22"/>
          <w:szCs w:val="22"/>
        </w:rPr>
        <w:t>”产业链指：内燃机、低压电器电机、新能源材料及应用、不锈钢精深加工、铜基材精深加工等</w:t>
      </w:r>
      <w:r>
        <w:rPr>
          <w:rFonts w:eastAsia="楷体_GB2312"/>
          <w:sz w:val="22"/>
          <w:szCs w:val="22"/>
        </w:rPr>
        <w:t>5条制造业产业链和纺织服装、绿色食品、板材家具、黑白家电、五金水暖、中医药等6条</w:t>
      </w:r>
      <w:r>
        <w:rPr>
          <w:rFonts w:hint="eastAsia" w:ascii="楷体_GB2312" w:hAnsi="楷体_GB2312" w:eastAsia="楷体_GB2312"/>
          <w:sz w:val="22"/>
          <w:szCs w:val="22"/>
        </w:rPr>
        <w:t>轻工业产业链；</w:t>
      </w:r>
    </w:p>
  </w:footnote>
  <w:footnote w:id="1">
    <w:p>
      <w:pPr>
        <w:pStyle w:val="17"/>
        <w:rPr>
          <w:rFonts w:ascii="楷体_GB2312" w:hAnsi="楷体_GB2312" w:eastAsia="楷体_GB2312"/>
          <w:sz w:val="22"/>
          <w:szCs w:val="22"/>
        </w:rPr>
      </w:pPr>
      <w:r>
        <w:rPr>
          <w:rStyle w:val="27"/>
          <w:rFonts w:ascii="楷体_GB2312" w:hAnsi="楷体_GB2312" w:eastAsia="楷体_GB2312"/>
          <w:sz w:val="22"/>
          <w:szCs w:val="22"/>
        </w:rPr>
        <w:footnoteRef/>
      </w:r>
      <w:r>
        <w:rPr>
          <w:rFonts w:ascii="楷体_GB2312" w:hAnsi="楷体_GB2312" w:eastAsia="楷体_GB2312"/>
          <w:sz w:val="22"/>
          <w:szCs w:val="22"/>
        </w:rPr>
        <w:t xml:space="preserve"> </w:t>
      </w:r>
      <w:r>
        <w:rPr>
          <w:rFonts w:hint="eastAsia" w:ascii="楷体_GB2312" w:hAnsi="楷体_GB2312" w:eastAsia="楷体_GB2312"/>
          <w:sz w:val="22"/>
          <w:szCs w:val="22"/>
        </w:rPr>
        <w:t>“四强两区一美”指：产业强、枢纽强、生态强、法治强、乡村振兴示范区、政治生态示范区、城市美；</w:t>
      </w:r>
    </w:p>
  </w:footnote>
  <w:footnote w:id="2">
    <w:p>
      <w:pPr>
        <w:pStyle w:val="17"/>
        <w:rPr>
          <w:rFonts w:ascii="楷体_GB2312" w:hAnsi="楷体_GB2312" w:eastAsia="楷体_GB2312"/>
          <w:sz w:val="22"/>
          <w:szCs w:val="22"/>
        </w:rPr>
      </w:pPr>
      <w:r>
        <w:rPr>
          <w:rStyle w:val="27"/>
          <w:rFonts w:ascii="楷体_GB2312" w:hAnsi="楷体_GB2312" w:eastAsia="楷体_GB2312"/>
          <w:sz w:val="22"/>
          <w:szCs w:val="22"/>
        </w:rPr>
        <w:footnoteRef/>
      </w:r>
      <w:r>
        <w:rPr>
          <w:rFonts w:hint="eastAsia" w:ascii="楷体_GB2312" w:hAnsi="楷体_GB2312" w:eastAsia="楷体_GB2312"/>
          <w:sz w:val="22"/>
          <w:szCs w:val="22"/>
        </w:rPr>
        <w:t>“两都一区”指：“动力之都”、“中国南方药都”、北部湾城市群商贸物流核心区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ZjYjI4Zjg3MzM3MDliZTk2NTZkOTRkMzZhMDE5MDEifQ=="/>
  </w:docVars>
  <w:rsids>
    <w:rsidRoot w:val="00FE6748"/>
    <w:rsid w:val="00000662"/>
    <w:rsid w:val="00000666"/>
    <w:rsid w:val="000013F3"/>
    <w:rsid w:val="00001912"/>
    <w:rsid w:val="000039B9"/>
    <w:rsid w:val="000040F0"/>
    <w:rsid w:val="00004AF7"/>
    <w:rsid w:val="00005719"/>
    <w:rsid w:val="00005D2F"/>
    <w:rsid w:val="00006471"/>
    <w:rsid w:val="000068FB"/>
    <w:rsid w:val="00007551"/>
    <w:rsid w:val="00007C66"/>
    <w:rsid w:val="0001509F"/>
    <w:rsid w:val="000177EE"/>
    <w:rsid w:val="00023F64"/>
    <w:rsid w:val="00025450"/>
    <w:rsid w:val="00025664"/>
    <w:rsid w:val="0003146D"/>
    <w:rsid w:val="00031741"/>
    <w:rsid w:val="000319A0"/>
    <w:rsid w:val="000322EE"/>
    <w:rsid w:val="000324C0"/>
    <w:rsid w:val="00033138"/>
    <w:rsid w:val="000336AD"/>
    <w:rsid w:val="00033A97"/>
    <w:rsid w:val="0003530D"/>
    <w:rsid w:val="00035874"/>
    <w:rsid w:val="0003594F"/>
    <w:rsid w:val="0003705A"/>
    <w:rsid w:val="00037678"/>
    <w:rsid w:val="0004002E"/>
    <w:rsid w:val="0004051D"/>
    <w:rsid w:val="00042699"/>
    <w:rsid w:val="00043035"/>
    <w:rsid w:val="0004438C"/>
    <w:rsid w:val="00044AC1"/>
    <w:rsid w:val="00045ACB"/>
    <w:rsid w:val="0004618F"/>
    <w:rsid w:val="0004645D"/>
    <w:rsid w:val="00047582"/>
    <w:rsid w:val="00050AAC"/>
    <w:rsid w:val="00050B0A"/>
    <w:rsid w:val="00050BA7"/>
    <w:rsid w:val="000512E5"/>
    <w:rsid w:val="00052D60"/>
    <w:rsid w:val="00053372"/>
    <w:rsid w:val="00053B52"/>
    <w:rsid w:val="00054695"/>
    <w:rsid w:val="00055339"/>
    <w:rsid w:val="00055D7D"/>
    <w:rsid w:val="00056251"/>
    <w:rsid w:val="0005750D"/>
    <w:rsid w:val="00061B76"/>
    <w:rsid w:val="000623A0"/>
    <w:rsid w:val="0006288A"/>
    <w:rsid w:val="000638E2"/>
    <w:rsid w:val="00065116"/>
    <w:rsid w:val="000664DE"/>
    <w:rsid w:val="0006752D"/>
    <w:rsid w:val="0006774C"/>
    <w:rsid w:val="00067E4F"/>
    <w:rsid w:val="0007074A"/>
    <w:rsid w:val="00070F60"/>
    <w:rsid w:val="00071332"/>
    <w:rsid w:val="00073D58"/>
    <w:rsid w:val="000758B7"/>
    <w:rsid w:val="00080C07"/>
    <w:rsid w:val="0008143F"/>
    <w:rsid w:val="00081FC5"/>
    <w:rsid w:val="00083E2F"/>
    <w:rsid w:val="0008464F"/>
    <w:rsid w:val="00084933"/>
    <w:rsid w:val="00084CE4"/>
    <w:rsid w:val="00085A07"/>
    <w:rsid w:val="00085A31"/>
    <w:rsid w:val="0008665A"/>
    <w:rsid w:val="00086998"/>
    <w:rsid w:val="00086C7C"/>
    <w:rsid w:val="00087C18"/>
    <w:rsid w:val="00090551"/>
    <w:rsid w:val="00090FB7"/>
    <w:rsid w:val="000911D6"/>
    <w:rsid w:val="00092796"/>
    <w:rsid w:val="00092A0B"/>
    <w:rsid w:val="000939F0"/>
    <w:rsid w:val="00093C67"/>
    <w:rsid w:val="00095722"/>
    <w:rsid w:val="00096FCA"/>
    <w:rsid w:val="000A125E"/>
    <w:rsid w:val="000A1CAA"/>
    <w:rsid w:val="000A1E2C"/>
    <w:rsid w:val="000A28FF"/>
    <w:rsid w:val="000A3210"/>
    <w:rsid w:val="000A360A"/>
    <w:rsid w:val="000A3678"/>
    <w:rsid w:val="000A41D1"/>
    <w:rsid w:val="000A4EC8"/>
    <w:rsid w:val="000A65C3"/>
    <w:rsid w:val="000A70B9"/>
    <w:rsid w:val="000A7D6E"/>
    <w:rsid w:val="000B0C3C"/>
    <w:rsid w:val="000B35EE"/>
    <w:rsid w:val="000B479B"/>
    <w:rsid w:val="000B59B5"/>
    <w:rsid w:val="000C002E"/>
    <w:rsid w:val="000C0033"/>
    <w:rsid w:val="000C2D12"/>
    <w:rsid w:val="000C36D8"/>
    <w:rsid w:val="000C401E"/>
    <w:rsid w:val="000C412B"/>
    <w:rsid w:val="000C5022"/>
    <w:rsid w:val="000D009A"/>
    <w:rsid w:val="000D0DFB"/>
    <w:rsid w:val="000D1321"/>
    <w:rsid w:val="000D197E"/>
    <w:rsid w:val="000D2060"/>
    <w:rsid w:val="000D249A"/>
    <w:rsid w:val="000D2C5A"/>
    <w:rsid w:val="000D3E61"/>
    <w:rsid w:val="000D46E2"/>
    <w:rsid w:val="000D49B6"/>
    <w:rsid w:val="000D4FE4"/>
    <w:rsid w:val="000D5623"/>
    <w:rsid w:val="000D5786"/>
    <w:rsid w:val="000D7182"/>
    <w:rsid w:val="000D73C0"/>
    <w:rsid w:val="000D7571"/>
    <w:rsid w:val="000D7700"/>
    <w:rsid w:val="000D7D9C"/>
    <w:rsid w:val="000E0F33"/>
    <w:rsid w:val="000E312A"/>
    <w:rsid w:val="000E3539"/>
    <w:rsid w:val="000E35B2"/>
    <w:rsid w:val="000E3DE8"/>
    <w:rsid w:val="000E50D6"/>
    <w:rsid w:val="000E7364"/>
    <w:rsid w:val="000E7507"/>
    <w:rsid w:val="000F1292"/>
    <w:rsid w:val="000F1BAC"/>
    <w:rsid w:val="000F38E4"/>
    <w:rsid w:val="000F3A44"/>
    <w:rsid w:val="000F3AA0"/>
    <w:rsid w:val="000F5DDA"/>
    <w:rsid w:val="000F64BC"/>
    <w:rsid w:val="000F7262"/>
    <w:rsid w:val="000F74F5"/>
    <w:rsid w:val="000F76E6"/>
    <w:rsid w:val="0010298B"/>
    <w:rsid w:val="00105066"/>
    <w:rsid w:val="001053D9"/>
    <w:rsid w:val="0010615F"/>
    <w:rsid w:val="00106C21"/>
    <w:rsid w:val="001106F1"/>
    <w:rsid w:val="00110AB6"/>
    <w:rsid w:val="0011293A"/>
    <w:rsid w:val="0011373B"/>
    <w:rsid w:val="00113D5F"/>
    <w:rsid w:val="00114104"/>
    <w:rsid w:val="0011445A"/>
    <w:rsid w:val="0011563E"/>
    <w:rsid w:val="00115C3E"/>
    <w:rsid w:val="00116C46"/>
    <w:rsid w:val="001171FE"/>
    <w:rsid w:val="00117A0C"/>
    <w:rsid w:val="00117DCC"/>
    <w:rsid w:val="00120697"/>
    <w:rsid w:val="00120E5F"/>
    <w:rsid w:val="00122860"/>
    <w:rsid w:val="00123484"/>
    <w:rsid w:val="001240AF"/>
    <w:rsid w:val="00124511"/>
    <w:rsid w:val="00124BB5"/>
    <w:rsid w:val="0012554E"/>
    <w:rsid w:val="001255D2"/>
    <w:rsid w:val="0013115A"/>
    <w:rsid w:val="00131823"/>
    <w:rsid w:val="001357DB"/>
    <w:rsid w:val="00136552"/>
    <w:rsid w:val="001376C8"/>
    <w:rsid w:val="00140367"/>
    <w:rsid w:val="0014069E"/>
    <w:rsid w:val="00141329"/>
    <w:rsid w:val="00142264"/>
    <w:rsid w:val="00142B0C"/>
    <w:rsid w:val="00143141"/>
    <w:rsid w:val="00143B9B"/>
    <w:rsid w:val="00145BF2"/>
    <w:rsid w:val="00146720"/>
    <w:rsid w:val="00146D6E"/>
    <w:rsid w:val="001504C0"/>
    <w:rsid w:val="00151E47"/>
    <w:rsid w:val="00152494"/>
    <w:rsid w:val="00152FF4"/>
    <w:rsid w:val="00155308"/>
    <w:rsid w:val="00156DD8"/>
    <w:rsid w:val="001620E0"/>
    <w:rsid w:val="0016412E"/>
    <w:rsid w:val="00164157"/>
    <w:rsid w:val="001647FA"/>
    <w:rsid w:val="001663C7"/>
    <w:rsid w:val="0016659B"/>
    <w:rsid w:val="0016667F"/>
    <w:rsid w:val="001674C6"/>
    <w:rsid w:val="00170868"/>
    <w:rsid w:val="00170CCF"/>
    <w:rsid w:val="00171841"/>
    <w:rsid w:val="00171BE6"/>
    <w:rsid w:val="00173EFC"/>
    <w:rsid w:val="0017500F"/>
    <w:rsid w:val="0017508F"/>
    <w:rsid w:val="001801DE"/>
    <w:rsid w:val="001809CD"/>
    <w:rsid w:val="00181216"/>
    <w:rsid w:val="001813BF"/>
    <w:rsid w:val="00182CBB"/>
    <w:rsid w:val="0018319B"/>
    <w:rsid w:val="00185F32"/>
    <w:rsid w:val="00187575"/>
    <w:rsid w:val="001875DC"/>
    <w:rsid w:val="001879AC"/>
    <w:rsid w:val="00187C55"/>
    <w:rsid w:val="00187D09"/>
    <w:rsid w:val="0019000D"/>
    <w:rsid w:val="001902F0"/>
    <w:rsid w:val="00191173"/>
    <w:rsid w:val="00191B55"/>
    <w:rsid w:val="0019396F"/>
    <w:rsid w:val="001939A1"/>
    <w:rsid w:val="0019410B"/>
    <w:rsid w:val="001947F2"/>
    <w:rsid w:val="0019501C"/>
    <w:rsid w:val="001960E6"/>
    <w:rsid w:val="00197536"/>
    <w:rsid w:val="001A01A5"/>
    <w:rsid w:val="001A142B"/>
    <w:rsid w:val="001A35EE"/>
    <w:rsid w:val="001A3A1E"/>
    <w:rsid w:val="001A657F"/>
    <w:rsid w:val="001A7F1A"/>
    <w:rsid w:val="001B017A"/>
    <w:rsid w:val="001B1599"/>
    <w:rsid w:val="001B1C7E"/>
    <w:rsid w:val="001B206E"/>
    <w:rsid w:val="001B24EE"/>
    <w:rsid w:val="001B25F8"/>
    <w:rsid w:val="001B2639"/>
    <w:rsid w:val="001B3E8F"/>
    <w:rsid w:val="001B4081"/>
    <w:rsid w:val="001B6F4F"/>
    <w:rsid w:val="001B7296"/>
    <w:rsid w:val="001C0F14"/>
    <w:rsid w:val="001C35E0"/>
    <w:rsid w:val="001C5CCC"/>
    <w:rsid w:val="001C7C11"/>
    <w:rsid w:val="001D049A"/>
    <w:rsid w:val="001D1EB0"/>
    <w:rsid w:val="001D2310"/>
    <w:rsid w:val="001D30B5"/>
    <w:rsid w:val="001D56DB"/>
    <w:rsid w:val="001D5A2F"/>
    <w:rsid w:val="001D5EFA"/>
    <w:rsid w:val="001D6EF2"/>
    <w:rsid w:val="001D7063"/>
    <w:rsid w:val="001E1116"/>
    <w:rsid w:val="001E21AD"/>
    <w:rsid w:val="001E2E77"/>
    <w:rsid w:val="001E3E85"/>
    <w:rsid w:val="001E52F7"/>
    <w:rsid w:val="001E5829"/>
    <w:rsid w:val="001E642A"/>
    <w:rsid w:val="001F084B"/>
    <w:rsid w:val="001F18A5"/>
    <w:rsid w:val="001F1970"/>
    <w:rsid w:val="001F2422"/>
    <w:rsid w:val="001F43AC"/>
    <w:rsid w:val="001F54EA"/>
    <w:rsid w:val="001F5D41"/>
    <w:rsid w:val="001F5F18"/>
    <w:rsid w:val="00200124"/>
    <w:rsid w:val="00201F0E"/>
    <w:rsid w:val="002029D7"/>
    <w:rsid w:val="002030DE"/>
    <w:rsid w:val="00203D78"/>
    <w:rsid w:val="002041C0"/>
    <w:rsid w:val="00204659"/>
    <w:rsid w:val="00204AD4"/>
    <w:rsid w:val="00206A13"/>
    <w:rsid w:val="002074D1"/>
    <w:rsid w:val="0021017A"/>
    <w:rsid w:val="00210527"/>
    <w:rsid w:val="00211CBE"/>
    <w:rsid w:val="00212074"/>
    <w:rsid w:val="0021300E"/>
    <w:rsid w:val="00215B62"/>
    <w:rsid w:val="00220284"/>
    <w:rsid w:val="002208B0"/>
    <w:rsid w:val="002209CF"/>
    <w:rsid w:val="00221191"/>
    <w:rsid w:val="002219F9"/>
    <w:rsid w:val="0022412A"/>
    <w:rsid w:val="00224455"/>
    <w:rsid w:val="00224938"/>
    <w:rsid w:val="00224D4F"/>
    <w:rsid w:val="0022780C"/>
    <w:rsid w:val="00227AEF"/>
    <w:rsid w:val="00231B41"/>
    <w:rsid w:val="002332B1"/>
    <w:rsid w:val="002339D3"/>
    <w:rsid w:val="00233C9B"/>
    <w:rsid w:val="00235B18"/>
    <w:rsid w:val="002362D7"/>
    <w:rsid w:val="00237E3A"/>
    <w:rsid w:val="00240433"/>
    <w:rsid w:val="00240D8A"/>
    <w:rsid w:val="002412E2"/>
    <w:rsid w:val="00241E6B"/>
    <w:rsid w:val="002422F7"/>
    <w:rsid w:val="0024276B"/>
    <w:rsid w:val="0024358B"/>
    <w:rsid w:val="0024529F"/>
    <w:rsid w:val="0024588F"/>
    <w:rsid w:val="00246D21"/>
    <w:rsid w:val="002503F8"/>
    <w:rsid w:val="00250A0E"/>
    <w:rsid w:val="002517F5"/>
    <w:rsid w:val="00251E21"/>
    <w:rsid w:val="002523E7"/>
    <w:rsid w:val="00252A2D"/>
    <w:rsid w:val="00253F8A"/>
    <w:rsid w:val="00254F24"/>
    <w:rsid w:val="00257546"/>
    <w:rsid w:val="00257C9E"/>
    <w:rsid w:val="00257D06"/>
    <w:rsid w:val="00260520"/>
    <w:rsid w:val="00261C94"/>
    <w:rsid w:val="00262774"/>
    <w:rsid w:val="00263A97"/>
    <w:rsid w:val="00264605"/>
    <w:rsid w:val="002651C6"/>
    <w:rsid w:val="002652B4"/>
    <w:rsid w:val="002652BF"/>
    <w:rsid w:val="00265EE6"/>
    <w:rsid w:val="002674F7"/>
    <w:rsid w:val="002703E8"/>
    <w:rsid w:val="00271F65"/>
    <w:rsid w:val="00272983"/>
    <w:rsid w:val="00273033"/>
    <w:rsid w:val="00273A27"/>
    <w:rsid w:val="00273E75"/>
    <w:rsid w:val="002753C6"/>
    <w:rsid w:val="00275D11"/>
    <w:rsid w:val="0027655B"/>
    <w:rsid w:val="00276738"/>
    <w:rsid w:val="002777E7"/>
    <w:rsid w:val="00282D6F"/>
    <w:rsid w:val="00284BCE"/>
    <w:rsid w:val="00285644"/>
    <w:rsid w:val="00285BCB"/>
    <w:rsid w:val="00287F89"/>
    <w:rsid w:val="00290E28"/>
    <w:rsid w:val="00291A7F"/>
    <w:rsid w:val="00291AE4"/>
    <w:rsid w:val="002925F7"/>
    <w:rsid w:val="00293118"/>
    <w:rsid w:val="00294C3B"/>
    <w:rsid w:val="00294FCC"/>
    <w:rsid w:val="00296F88"/>
    <w:rsid w:val="002978ED"/>
    <w:rsid w:val="00297F24"/>
    <w:rsid w:val="002A0036"/>
    <w:rsid w:val="002A078A"/>
    <w:rsid w:val="002A1C78"/>
    <w:rsid w:val="002A54E7"/>
    <w:rsid w:val="002A5D2E"/>
    <w:rsid w:val="002A6C89"/>
    <w:rsid w:val="002B0713"/>
    <w:rsid w:val="002B23F0"/>
    <w:rsid w:val="002B2E77"/>
    <w:rsid w:val="002B3324"/>
    <w:rsid w:val="002B4691"/>
    <w:rsid w:val="002B4A13"/>
    <w:rsid w:val="002B68A9"/>
    <w:rsid w:val="002C0C6D"/>
    <w:rsid w:val="002C2556"/>
    <w:rsid w:val="002C2A01"/>
    <w:rsid w:val="002C336F"/>
    <w:rsid w:val="002C396A"/>
    <w:rsid w:val="002C47CB"/>
    <w:rsid w:val="002C4FAF"/>
    <w:rsid w:val="002C56D9"/>
    <w:rsid w:val="002C5A55"/>
    <w:rsid w:val="002C6416"/>
    <w:rsid w:val="002C7E9B"/>
    <w:rsid w:val="002D008E"/>
    <w:rsid w:val="002D2DEE"/>
    <w:rsid w:val="002D2E0A"/>
    <w:rsid w:val="002D5DB0"/>
    <w:rsid w:val="002D6FF6"/>
    <w:rsid w:val="002E0457"/>
    <w:rsid w:val="002E218F"/>
    <w:rsid w:val="002E3146"/>
    <w:rsid w:val="002E3CEE"/>
    <w:rsid w:val="002E5FCD"/>
    <w:rsid w:val="002E6881"/>
    <w:rsid w:val="002E6AEF"/>
    <w:rsid w:val="002F110A"/>
    <w:rsid w:val="002F14C4"/>
    <w:rsid w:val="002F214A"/>
    <w:rsid w:val="002F2CE9"/>
    <w:rsid w:val="002F3750"/>
    <w:rsid w:val="002F4D6C"/>
    <w:rsid w:val="002F5FBA"/>
    <w:rsid w:val="002F68EC"/>
    <w:rsid w:val="00300B08"/>
    <w:rsid w:val="00301AE9"/>
    <w:rsid w:val="00302795"/>
    <w:rsid w:val="00302A9C"/>
    <w:rsid w:val="003030AA"/>
    <w:rsid w:val="003044A0"/>
    <w:rsid w:val="00304FE1"/>
    <w:rsid w:val="003067EA"/>
    <w:rsid w:val="00306809"/>
    <w:rsid w:val="00306C61"/>
    <w:rsid w:val="0030741F"/>
    <w:rsid w:val="003079DD"/>
    <w:rsid w:val="00310680"/>
    <w:rsid w:val="003120DA"/>
    <w:rsid w:val="00314D1C"/>
    <w:rsid w:val="00315CAF"/>
    <w:rsid w:val="00316452"/>
    <w:rsid w:val="00316BA1"/>
    <w:rsid w:val="00317EA6"/>
    <w:rsid w:val="00320955"/>
    <w:rsid w:val="00320CAA"/>
    <w:rsid w:val="00321D81"/>
    <w:rsid w:val="00321F4B"/>
    <w:rsid w:val="003224E5"/>
    <w:rsid w:val="00322976"/>
    <w:rsid w:val="00323609"/>
    <w:rsid w:val="003245FF"/>
    <w:rsid w:val="00325739"/>
    <w:rsid w:val="00327F2C"/>
    <w:rsid w:val="003306D2"/>
    <w:rsid w:val="00331F9B"/>
    <w:rsid w:val="003334EE"/>
    <w:rsid w:val="003349FA"/>
    <w:rsid w:val="00337348"/>
    <w:rsid w:val="003414DC"/>
    <w:rsid w:val="003415EE"/>
    <w:rsid w:val="00342B96"/>
    <w:rsid w:val="0034364B"/>
    <w:rsid w:val="00345242"/>
    <w:rsid w:val="003455D7"/>
    <w:rsid w:val="00345F33"/>
    <w:rsid w:val="00346168"/>
    <w:rsid w:val="003477B8"/>
    <w:rsid w:val="0035035F"/>
    <w:rsid w:val="003504B0"/>
    <w:rsid w:val="00350D97"/>
    <w:rsid w:val="00350EEE"/>
    <w:rsid w:val="0035145D"/>
    <w:rsid w:val="00351AB3"/>
    <w:rsid w:val="00352928"/>
    <w:rsid w:val="00353330"/>
    <w:rsid w:val="00353D6F"/>
    <w:rsid w:val="003542F9"/>
    <w:rsid w:val="003552E5"/>
    <w:rsid w:val="003554D8"/>
    <w:rsid w:val="00356CF1"/>
    <w:rsid w:val="0035737C"/>
    <w:rsid w:val="0036048C"/>
    <w:rsid w:val="00360963"/>
    <w:rsid w:val="00362DCF"/>
    <w:rsid w:val="003674BE"/>
    <w:rsid w:val="0037062F"/>
    <w:rsid w:val="003712C3"/>
    <w:rsid w:val="00371AD0"/>
    <w:rsid w:val="0037366D"/>
    <w:rsid w:val="00373BB3"/>
    <w:rsid w:val="00373C62"/>
    <w:rsid w:val="00373F58"/>
    <w:rsid w:val="00374C2B"/>
    <w:rsid w:val="00375D2A"/>
    <w:rsid w:val="003768CD"/>
    <w:rsid w:val="0038062A"/>
    <w:rsid w:val="00381F35"/>
    <w:rsid w:val="00382128"/>
    <w:rsid w:val="0038238C"/>
    <w:rsid w:val="0038470C"/>
    <w:rsid w:val="00385250"/>
    <w:rsid w:val="00385652"/>
    <w:rsid w:val="00387F70"/>
    <w:rsid w:val="003904D8"/>
    <w:rsid w:val="00390951"/>
    <w:rsid w:val="003924DA"/>
    <w:rsid w:val="00393155"/>
    <w:rsid w:val="0039390B"/>
    <w:rsid w:val="00394CC4"/>
    <w:rsid w:val="00394EA7"/>
    <w:rsid w:val="003960C7"/>
    <w:rsid w:val="003A149C"/>
    <w:rsid w:val="003A354A"/>
    <w:rsid w:val="003A48A9"/>
    <w:rsid w:val="003A69A1"/>
    <w:rsid w:val="003B0FC3"/>
    <w:rsid w:val="003B12B5"/>
    <w:rsid w:val="003B2C8D"/>
    <w:rsid w:val="003B3694"/>
    <w:rsid w:val="003B3702"/>
    <w:rsid w:val="003B4C48"/>
    <w:rsid w:val="003B4DF2"/>
    <w:rsid w:val="003B7F60"/>
    <w:rsid w:val="003C04A0"/>
    <w:rsid w:val="003C1357"/>
    <w:rsid w:val="003C1C3C"/>
    <w:rsid w:val="003C1D0E"/>
    <w:rsid w:val="003C32CA"/>
    <w:rsid w:val="003C4273"/>
    <w:rsid w:val="003C4706"/>
    <w:rsid w:val="003C595B"/>
    <w:rsid w:val="003D26F2"/>
    <w:rsid w:val="003D2FC9"/>
    <w:rsid w:val="003D4D27"/>
    <w:rsid w:val="003D5232"/>
    <w:rsid w:val="003D5A45"/>
    <w:rsid w:val="003D5B7B"/>
    <w:rsid w:val="003D735D"/>
    <w:rsid w:val="003D76F1"/>
    <w:rsid w:val="003D78A6"/>
    <w:rsid w:val="003E2A59"/>
    <w:rsid w:val="003E2B3D"/>
    <w:rsid w:val="003E2FD4"/>
    <w:rsid w:val="003E3935"/>
    <w:rsid w:val="003E3C93"/>
    <w:rsid w:val="003E507A"/>
    <w:rsid w:val="003E588F"/>
    <w:rsid w:val="003E60F9"/>
    <w:rsid w:val="003E77DD"/>
    <w:rsid w:val="003E7897"/>
    <w:rsid w:val="003E7AEB"/>
    <w:rsid w:val="003E7CD2"/>
    <w:rsid w:val="003F1004"/>
    <w:rsid w:val="003F12BF"/>
    <w:rsid w:val="003F4273"/>
    <w:rsid w:val="003F4FE8"/>
    <w:rsid w:val="003F5370"/>
    <w:rsid w:val="003F71FB"/>
    <w:rsid w:val="003F7357"/>
    <w:rsid w:val="003F7C9E"/>
    <w:rsid w:val="00401267"/>
    <w:rsid w:val="0040166A"/>
    <w:rsid w:val="004017C1"/>
    <w:rsid w:val="00401AB9"/>
    <w:rsid w:val="004024B0"/>
    <w:rsid w:val="0040542E"/>
    <w:rsid w:val="0040571F"/>
    <w:rsid w:val="00405974"/>
    <w:rsid w:val="00405D84"/>
    <w:rsid w:val="00406543"/>
    <w:rsid w:val="00410EB3"/>
    <w:rsid w:val="0041282B"/>
    <w:rsid w:val="004134D4"/>
    <w:rsid w:val="00415F72"/>
    <w:rsid w:val="00417173"/>
    <w:rsid w:val="004177D2"/>
    <w:rsid w:val="00421FEF"/>
    <w:rsid w:val="004241DB"/>
    <w:rsid w:val="0042479B"/>
    <w:rsid w:val="00425857"/>
    <w:rsid w:val="00425D7F"/>
    <w:rsid w:val="00426315"/>
    <w:rsid w:val="00426CF4"/>
    <w:rsid w:val="004303B3"/>
    <w:rsid w:val="00430733"/>
    <w:rsid w:val="00431143"/>
    <w:rsid w:val="00434E03"/>
    <w:rsid w:val="00435454"/>
    <w:rsid w:val="00435FD9"/>
    <w:rsid w:val="004360FB"/>
    <w:rsid w:val="0043686F"/>
    <w:rsid w:val="00436D4A"/>
    <w:rsid w:val="00437683"/>
    <w:rsid w:val="00440287"/>
    <w:rsid w:val="0044106D"/>
    <w:rsid w:val="00443B0D"/>
    <w:rsid w:val="00443F72"/>
    <w:rsid w:val="0044409D"/>
    <w:rsid w:val="00445FC1"/>
    <w:rsid w:val="0044663F"/>
    <w:rsid w:val="0044683D"/>
    <w:rsid w:val="00450B22"/>
    <w:rsid w:val="00451AFE"/>
    <w:rsid w:val="004521FE"/>
    <w:rsid w:val="00452580"/>
    <w:rsid w:val="004532D9"/>
    <w:rsid w:val="00453938"/>
    <w:rsid w:val="0045399F"/>
    <w:rsid w:val="00454329"/>
    <w:rsid w:val="00454856"/>
    <w:rsid w:val="00454D73"/>
    <w:rsid w:val="0045693F"/>
    <w:rsid w:val="004579AF"/>
    <w:rsid w:val="004610ED"/>
    <w:rsid w:val="00462B16"/>
    <w:rsid w:val="004634E3"/>
    <w:rsid w:val="00465102"/>
    <w:rsid w:val="0046558C"/>
    <w:rsid w:val="004658C2"/>
    <w:rsid w:val="004664CC"/>
    <w:rsid w:val="00466579"/>
    <w:rsid w:val="00466C67"/>
    <w:rsid w:val="0046733F"/>
    <w:rsid w:val="00467474"/>
    <w:rsid w:val="004677DA"/>
    <w:rsid w:val="00470620"/>
    <w:rsid w:val="00470829"/>
    <w:rsid w:val="0047139C"/>
    <w:rsid w:val="00471A6D"/>
    <w:rsid w:val="00474C82"/>
    <w:rsid w:val="0047588A"/>
    <w:rsid w:val="00475FD3"/>
    <w:rsid w:val="00476E35"/>
    <w:rsid w:val="00480506"/>
    <w:rsid w:val="004824CE"/>
    <w:rsid w:val="00482BD1"/>
    <w:rsid w:val="00482F2A"/>
    <w:rsid w:val="0048544E"/>
    <w:rsid w:val="00485829"/>
    <w:rsid w:val="004865F2"/>
    <w:rsid w:val="00491F31"/>
    <w:rsid w:val="00491FBA"/>
    <w:rsid w:val="004923F0"/>
    <w:rsid w:val="0049263E"/>
    <w:rsid w:val="004A0CB2"/>
    <w:rsid w:val="004A10D9"/>
    <w:rsid w:val="004A3341"/>
    <w:rsid w:val="004A38FB"/>
    <w:rsid w:val="004A3DC1"/>
    <w:rsid w:val="004A51BD"/>
    <w:rsid w:val="004A57FC"/>
    <w:rsid w:val="004A5871"/>
    <w:rsid w:val="004A6161"/>
    <w:rsid w:val="004A74E8"/>
    <w:rsid w:val="004B0800"/>
    <w:rsid w:val="004B0EF7"/>
    <w:rsid w:val="004B123E"/>
    <w:rsid w:val="004B2267"/>
    <w:rsid w:val="004B2D63"/>
    <w:rsid w:val="004B32B0"/>
    <w:rsid w:val="004B453B"/>
    <w:rsid w:val="004B49C1"/>
    <w:rsid w:val="004B7918"/>
    <w:rsid w:val="004C0F04"/>
    <w:rsid w:val="004C1DB2"/>
    <w:rsid w:val="004C4676"/>
    <w:rsid w:val="004C469D"/>
    <w:rsid w:val="004C488C"/>
    <w:rsid w:val="004C5136"/>
    <w:rsid w:val="004C5364"/>
    <w:rsid w:val="004D3F64"/>
    <w:rsid w:val="004D4418"/>
    <w:rsid w:val="004D4B61"/>
    <w:rsid w:val="004D629C"/>
    <w:rsid w:val="004D6481"/>
    <w:rsid w:val="004D71BE"/>
    <w:rsid w:val="004D7AAF"/>
    <w:rsid w:val="004D7FA7"/>
    <w:rsid w:val="004E2784"/>
    <w:rsid w:val="004E38EA"/>
    <w:rsid w:val="004E3B36"/>
    <w:rsid w:val="004E3EE1"/>
    <w:rsid w:val="004E4428"/>
    <w:rsid w:val="004E51FF"/>
    <w:rsid w:val="004E6138"/>
    <w:rsid w:val="004E62C0"/>
    <w:rsid w:val="004E707C"/>
    <w:rsid w:val="004F02DB"/>
    <w:rsid w:val="004F0DD3"/>
    <w:rsid w:val="004F25A7"/>
    <w:rsid w:val="004F3BC5"/>
    <w:rsid w:val="004F3C90"/>
    <w:rsid w:val="004F5108"/>
    <w:rsid w:val="004F5918"/>
    <w:rsid w:val="004F70DD"/>
    <w:rsid w:val="004F7A24"/>
    <w:rsid w:val="005034A0"/>
    <w:rsid w:val="00504E79"/>
    <w:rsid w:val="0050689F"/>
    <w:rsid w:val="00507781"/>
    <w:rsid w:val="005113DF"/>
    <w:rsid w:val="00511CC4"/>
    <w:rsid w:val="0051212E"/>
    <w:rsid w:val="005127BF"/>
    <w:rsid w:val="005136BA"/>
    <w:rsid w:val="005170A9"/>
    <w:rsid w:val="00517ECB"/>
    <w:rsid w:val="0052015D"/>
    <w:rsid w:val="005225E8"/>
    <w:rsid w:val="00524200"/>
    <w:rsid w:val="00524256"/>
    <w:rsid w:val="00524914"/>
    <w:rsid w:val="00524A85"/>
    <w:rsid w:val="00526678"/>
    <w:rsid w:val="005269B2"/>
    <w:rsid w:val="00530708"/>
    <w:rsid w:val="00531516"/>
    <w:rsid w:val="005319B3"/>
    <w:rsid w:val="00531ADA"/>
    <w:rsid w:val="00532E50"/>
    <w:rsid w:val="00533EED"/>
    <w:rsid w:val="00533FC0"/>
    <w:rsid w:val="00534438"/>
    <w:rsid w:val="00534475"/>
    <w:rsid w:val="005363B9"/>
    <w:rsid w:val="00540C18"/>
    <w:rsid w:val="00540D04"/>
    <w:rsid w:val="00541C98"/>
    <w:rsid w:val="0054232F"/>
    <w:rsid w:val="005429C5"/>
    <w:rsid w:val="005435A5"/>
    <w:rsid w:val="005437B2"/>
    <w:rsid w:val="00543A72"/>
    <w:rsid w:val="00544055"/>
    <w:rsid w:val="005442B9"/>
    <w:rsid w:val="005504FD"/>
    <w:rsid w:val="0055352F"/>
    <w:rsid w:val="0056041B"/>
    <w:rsid w:val="005611AE"/>
    <w:rsid w:val="00561303"/>
    <w:rsid w:val="00561EEE"/>
    <w:rsid w:val="00562859"/>
    <w:rsid w:val="0056395C"/>
    <w:rsid w:val="00564233"/>
    <w:rsid w:val="00564E4B"/>
    <w:rsid w:val="00565630"/>
    <w:rsid w:val="00565BDF"/>
    <w:rsid w:val="00565FB8"/>
    <w:rsid w:val="00566867"/>
    <w:rsid w:val="00570A26"/>
    <w:rsid w:val="00570BDE"/>
    <w:rsid w:val="005713FD"/>
    <w:rsid w:val="00571BC7"/>
    <w:rsid w:val="00571D11"/>
    <w:rsid w:val="00572CDB"/>
    <w:rsid w:val="00572F5C"/>
    <w:rsid w:val="005733F6"/>
    <w:rsid w:val="00573EDB"/>
    <w:rsid w:val="00574539"/>
    <w:rsid w:val="00575596"/>
    <w:rsid w:val="00575B7C"/>
    <w:rsid w:val="00575FD0"/>
    <w:rsid w:val="005762D7"/>
    <w:rsid w:val="005767C2"/>
    <w:rsid w:val="00577893"/>
    <w:rsid w:val="00582237"/>
    <w:rsid w:val="00583C8F"/>
    <w:rsid w:val="00583F64"/>
    <w:rsid w:val="00584A1E"/>
    <w:rsid w:val="00584E75"/>
    <w:rsid w:val="00586070"/>
    <w:rsid w:val="005867B7"/>
    <w:rsid w:val="0058727C"/>
    <w:rsid w:val="00591171"/>
    <w:rsid w:val="0059392E"/>
    <w:rsid w:val="005949FC"/>
    <w:rsid w:val="00596C67"/>
    <w:rsid w:val="00597130"/>
    <w:rsid w:val="00597C4E"/>
    <w:rsid w:val="005A3080"/>
    <w:rsid w:val="005A389B"/>
    <w:rsid w:val="005A477B"/>
    <w:rsid w:val="005A4DD4"/>
    <w:rsid w:val="005A5264"/>
    <w:rsid w:val="005A7831"/>
    <w:rsid w:val="005A798A"/>
    <w:rsid w:val="005B0652"/>
    <w:rsid w:val="005B075D"/>
    <w:rsid w:val="005B0D79"/>
    <w:rsid w:val="005B1C78"/>
    <w:rsid w:val="005B1CA4"/>
    <w:rsid w:val="005B222E"/>
    <w:rsid w:val="005B3D4A"/>
    <w:rsid w:val="005B48C9"/>
    <w:rsid w:val="005B7014"/>
    <w:rsid w:val="005B7195"/>
    <w:rsid w:val="005B7CBF"/>
    <w:rsid w:val="005C0376"/>
    <w:rsid w:val="005C185A"/>
    <w:rsid w:val="005C2557"/>
    <w:rsid w:val="005C5C57"/>
    <w:rsid w:val="005C5D35"/>
    <w:rsid w:val="005C5DA0"/>
    <w:rsid w:val="005C5EC2"/>
    <w:rsid w:val="005C61A4"/>
    <w:rsid w:val="005C6F2F"/>
    <w:rsid w:val="005D00D0"/>
    <w:rsid w:val="005D0595"/>
    <w:rsid w:val="005D11A0"/>
    <w:rsid w:val="005D2085"/>
    <w:rsid w:val="005D27BF"/>
    <w:rsid w:val="005D3BE6"/>
    <w:rsid w:val="005D43B4"/>
    <w:rsid w:val="005D4698"/>
    <w:rsid w:val="005D475E"/>
    <w:rsid w:val="005D5EB6"/>
    <w:rsid w:val="005D61AC"/>
    <w:rsid w:val="005D7609"/>
    <w:rsid w:val="005E4966"/>
    <w:rsid w:val="005F0DC6"/>
    <w:rsid w:val="005F1D43"/>
    <w:rsid w:val="005F1D9A"/>
    <w:rsid w:val="005F2CAB"/>
    <w:rsid w:val="005F34AA"/>
    <w:rsid w:val="005F353A"/>
    <w:rsid w:val="005F3784"/>
    <w:rsid w:val="005F5124"/>
    <w:rsid w:val="005F5779"/>
    <w:rsid w:val="005F5A6A"/>
    <w:rsid w:val="005F5D12"/>
    <w:rsid w:val="005F6498"/>
    <w:rsid w:val="00601872"/>
    <w:rsid w:val="00601991"/>
    <w:rsid w:val="00601B2F"/>
    <w:rsid w:val="00602E01"/>
    <w:rsid w:val="006036B8"/>
    <w:rsid w:val="00603D5A"/>
    <w:rsid w:val="00604F7F"/>
    <w:rsid w:val="006064CE"/>
    <w:rsid w:val="00606A9F"/>
    <w:rsid w:val="00607577"/>
    <w:rsid w:val="00610D12"/>
    <w:rsid w:val="00610FCB"/>
    <w:rsid w:val="00611923"/>
    <w:rsid w:val="00611AD8"/>
    <w:rsid w:val="00611C82"/>
    <w:rsid w:val="00611F60"/>
    <w:rsid w:val="00611FC6"/>
    <w:rsid w:val="00612CF9"/>
    <w:rsid w:val="006135AC"/>
    <w:rsid w:val="006139A2"/>
    <w:rsid w:val="006139FD"/>
    <w:rsid w:val="00615F3E"/>
    <w:rsid w:val="00616CC8"/>
    <w:rsid w:val="0062125F"/>
    <w:rsid w:val="00621FA5"/>
    <w:rsid w:val="00622418"/>
    <w:rsid w:val="00623A34"/>
    <w:rsid w:val="00624863"/>
    <w:rsid w:val="00624E84"/>
    <w:rsid w:val="00625DD2"/>
    <w:rsid w:val="00626551"/>
    <w:rsid w:val="00626F27"/>
    <w:rsid w:val="00627399"/>
    <w:rsid w:val="00630101"/>
    <w:rsid w:val="00631B74"/>
    <w:rsid w:val="00632108"/>
    <w:rsid w:val="00633E8E"/>
    <w:rsid w:val="00637BA2"/>
    <w:rsid w:val="00637CC6"/>
    <w:rsid w:val="006421A5"/>
    <w:rsid w:val="00642241"/>
    <w:rsid w:val="00642533"/>
    <w:rsid w:val="006451C8"/>
    <w:rsid w:val="00645389"/>
    <w:rsid w:val="00645754"/>
    <w:rsid w:val="00646268"/>
    <w:rsid w:val="00647E0D"/>
    <w:rsid w:val="006513A1"/>
    <w:rsid w:val="006522A4"/>
    <w:rsid w:val="00654175"/>
    <w:rsid w:val="00655271"/>
    <w:rsid w:val="00655DFA"/>
    <w:rsid w:val="006565B6"/>
    <w:rsid w:val="00657F37"/>
    <w:rsid w:val="00661495"/>
    <w:rsid w:val="00662C9F"/>
    <w:rsid w:val="00663FDE"/>
    <w:rsid w:val="0066473F"/>
    <w:rsid w:val="0066499B"/>
    <w:rsid w:val="006658BF"/>
    <w:rsid w:val="00665F7E"/>
    <w:rsid w:val="00666336"/>
    <w:rsid w:val="0066683D"/>
    <w:rsid w:val="0066743C"/>
    <w:rsid w:val="00670BD5"/>
    <w:rsid w:val="0067160F"/>
    <w:rsid w:val="00671BC5"/>
    <w:rsid w:val="00672362"/>
    <w:rsid w:val="00672715"/>
    <w:rsid w:val="00672856"/>
    <w:rsid w:val="006744D6"/>
    <w:rsid w:val="0067534C"/>
    <w:rsid w:val="00675DF3"/>
    <w:rsid w:val="00675FF0"/>
    <w:rsid w:val="0068386C"/>
    <w:rsid w:val="00684B56"/>
    <w:rsid w:val="00685231"/>
    <w:rsid w:val="0068591C"/>
    <w:rsid w:val="00686A2E"/>
    <w:rsid w:val="00687856"/>
    <w:rsid w:val="0069021B"/>
    <w:rsid w:val="0069055B"/>
    <w:rsid w:val="0069190C"/>
    <w:rsid w:val="00693192"/>
    <w:rsid w:val="0069514B"/>
    <w:rsid w:val="006952EA"/>
    <w:rsid w:val="006963CF"/>
    <w:rsid w:val="006964DB"/>
    <w:rsid w:val="006A16E8"/>
    <w:rsid w:val="006A2C17"/>
    <w:rsid w:val="006A32DE"/>
    <w:rsid w:val="006A3747"/>
    <w:rsid w:val="006A41E6"/>
    <w:rsid w:val="006A6C0C"/>
    <w:rsid w:val="006B06AC"/>
    <w:rsid w:val="006B0C4A"/>
    <w:rsid w:val="006B23F0"/>
    <w:rsid w:val="006B3C21"/>
    <w:rsid w:val="006B4CDA"/>
    <w:rsid w:val="006B55C8"/>
    <w:rsid w:val="006B63C0"/>
    <w:rsid w:val="006B6B89"/>
    <w:rsid w:val="006C0800"/>
    <w:rsid w:val="006C1C75"/>
    <w:rsid w:val="006C20F4"/>
    <w:rsid w:val="006C23C2"/>
    <w:rsid w:val="006C2402"/>
    <w:rsid w:val="006C25ED"/>
    <w:rsid w:val="006C41CA"/>
    <w:rsid w:val="006C459B"/>
    <w:rsid w:val="006C6C4D"/>
    <w:rsid w:val="006C7024"/>
    <w:rsid w:val="006C73A0"/>
    <w:rsid w:val="006D09F4"/>
    <w:rsid w:val="006D116C"/>
    <w:rsid w:val="006D3CAB"/>
    <w:rsid w:val="006D5B41"/>
    <w:rsid w:val="006D6552"/>
    <w:rsid w:val="006D6797"/>
    <w:rsid w:val="006D6996"/>
    <w:rsid w:val="006E1121"/>
    <w:rsid w:val="006E269D"/>
    <w:rsid w:val="006E3D9D"/>
    <w:rsid w:val="006E5031"/>
    <w:rsid w:val="006E6019"/>
    <w:rsid w:val="006E63DD"/>
    <w:rsid w:val="006E71E6"/>
    <w:rsid w:val="006E7460"/>
    <w:rsid w:val="006F133D"/>
    <w:rsid w:val="006F3930"/>
    <w:rsid w:val="006F5834"/>
    <w:rsid w:val="006F7DC0"/>
    <w:rsid w:val="00700378"/>
    <w:rsid w:val="00700A58"/>
    <w:rsid w:val="00700C7D"/>
    <w:rsid w:val="007016E7"/>
    <w:rsid w:val="00704320"/>
    <w:rsid w:val="007047CA"/>
    <w:rsid w:val="00704B91"/>
    <w:rsid w:val="00704CFD"/>
    <w:rsid w:val="00704FC4"/>
    <w:rsid w:val="00705C5F"/>
    <w:rsid w:val="00707138"/>
    <w:rsid w:val="007105A5"/>
    <w:rsid w:val="00710738"/>
    <w:rsid w:val="00710759"/>
    <w:rsid w:val="0071097E"/>
    <w:rsid w:val="007130B1"/>
    <w:rsid w:val="00713EA1"/>
    <w:rsid w:val="00714C86"/>
    <w:rsid w:val="00715B95"/>
    <w:rsid w:val="00716CC6"/>
    <w:rsid w:val="0071705A"/>
    <w:rsid w:val="007171A1"/>
    <w:rsid w:val="00721BD3"/>
    <w:rsid w:val="00721BFA"/>
    <w:rsid w:val="007229F4"/>
    <w:rsid w:val="00723596"/>
    <w:rsid w:val="00725398"/>
    <w:rsid w:val="00725720"/>
    <w:rsid w:val="007261AE"/>
    <w:rsid w:val="00727426"/>
    <w:rsid w:val="00731666"/>
    <w:rsid w:val="007325EF"/>
    <w:rsid w:val="00732FA4"/>
    <w:rsid w:val="00733580"/>
    <w:rsid w:val="00734BB6"/>
    <w:rsid w:val="00734EE4"/>
    <w:rsid w:val="007356FB"/>
    <w:rsid w:val="007364E5"/>
    <w:rsid w:val="007378C9"/>
    <w:rsid w:val="00740178"/>
    <w:rsid w:val="00744EA2"/>
    <w:rsid w:val="007454C0"/>
    <w:rsid w:val="007471C6"/>
    <w:rsid w:val="00750526"/>
    <w:rsid w:val="00750559"/>
    <w:rsid w:val="00750744"/>
    <w:rsid w:val="00750DA8"/>
    <w:rsid w:val="007518B9"/>
    <w:rsid w:val="00751A28"/>
    <w:rsid w:val="00754EF0"/>
    <w:rsid w:val="00755525"/>
    <w:rsid w:val="00755865"/>
    <w:rsid w:val="00755F50"/>
    <w:rsid w:val="0075616E"/>
    <w:rsid w:val="00757604"/>
    <w:rsid w:val="007579E1"/>
    <w:rsid w:val="007604ED"/>
    <w:rsid w:val="00760A91"/>
    <w:rsid w:val="007614D3"/>
    <w:rsid w:val="00761828"/>
    <w:rsid w:val="00761A05"/>
    <w:rsid w:val="00761C3B"/>
    <w:rsid w:val="00763F8E"/>
    <w:rsid w:val="00765C58"/>
    <w:rsid w:val="00766107"/>
    <w:rsid w:val="0076616A"/>
    <w:rsid w:val="00774403"/>
    <w:rsid w:val="00774440"/>
    <w:rsid w:val="00775325"/>
    <w:rsid w:val="00775793"/>
    <w:rsid w:val="00777024"/>
    <w:rsid w:val="007776A7"/>
    <w:rsid w:val="00780F0C"/>
    <w:rsid w:val="00782EE1"/>
    <w:rsid w:val="00783555"/>
    <w:rsid w:val="00784569"/>
    <w:rsid w:val="00786DA5"/>
    <w:rsid w:val="007902FA"/>
    <w:rsid w:val="00790F9D"/>
    <w:rsid w:val="00791088"/>
    <w:rsid w:val="007930C9"/>
    <w:rsid w:val="00794A8A"/>
    <w:rsid w:val="007962F1"/>
    <w:rsid w:val="007963A1"/>
    <w:rsid w:val="007972D6"/>
    <w:rsid w:val="007974D0"/>
    <w:rsid w:val="007A0663"/>
    <w:rsid w:val="007A1400"/>
    <w:rsid w:val="007A145C"/>
    <w:rsid w:val="007A4363"/>
    <w:rsid w:val="007A44B8"/>
    <w:rsid w:val="007A73F4"/>
    <w:rsid w:val="007B07CC"/>
    <w:rsid w:val="007B3DD0"/>
    <w:rsid w:val="007B5711"/>
    <w:rsid w:val="007B5C73"/>
    <w:rsid w:val="007B5CC7"/>
    <w:rsid w:val="007B66D4"/>
    <w:rsid w:val="007B732F"/>
    <w:rsid w:val="007C0276"/>
    <w:rsid w:val="007C1DA6"/>
    <w:rsid w:val="007C23C7"/>
    <w:rsid w:val="007C3F86"/>
    <w:rsid w:val="007C539B"/>
    <w:rsid w:val="007C53BC"/>
    <w:rsid w:val="007C6306"/>
    <w:rsid w:val="007C780F"/>
    <w:rsid w:val="007C7B70"/>
    <w:rsid w:val="007C7EA4"/>
    <w:rsid w:val="007D09D4"/>
    <w:rsid w:val="007D0C64"/>
    <w:rsid w:val="007D1553"/>
    <w:rsid w:val="007D15EC"/>
    <w:rsid w:val="007D231B"/>
    <w:rsid w:val="007D2512"/>
    <w:rsid w:val="007D2539"/>
    <w:rsid w:val="007D3A14"/>
    <w:rsid w:val="007D3C89"/>
    <w:rsid w:val="007D494D"/>
    <w:rsid w:val="007D4AD7"/>
    <w:rsid w:val="007D516A"/>
    <w:rsid w:val="007D547F"/>
    <w:rsid w:val="007D5723"/>
    <w:rsid w:val="007E00A8"/>
    <w:rsid w:val="007E0FAC"/>
    <w:rsid w:val="007E1444"/>
    <w:rsid w:val="007E18C6"/>
    <w:rsid w:val="007E28AC"/>
    <w:rsid w:val="007E4143"/>
    <w:rsid w:val="007E5203"/>
    <w:rsid w:val="007E55A6"/>
    <w:rsid w:val="007E560F"/>
    <w:rsid w:val="007E70A1"/>
    <w:rsid w:val="007F0E8B"/>
    <w:rsid w:val="007F1583"/>
    <w:rsid w:val="007F3EFB"/>
    <w:rsid w:val="007F4B7B"/>
    <w:rsid w:val="007F4DB2"/>
    <w:rsid w:val="007F57FD"/>
    <w:rsid w:val="007F59D0"/>
    <w:rsid w:val="007F6C6A"/>
    <w:rsid w:val="007F7685"/>
    <w:rsid w:val="007F7FBA"/>
    <w:rsid w:val="008001F8"/>
    <w:rsid w:val="00800421"/>
    <w:rsid w:val="008013F1"/>
    <w:rsid w:val="008017CD"/>
    <w:rsid w:val="00801DFC"/>
    <w:rsid w:val="008020F0"/>
    <w:rsid w:val="00803417"/>
    <w:rsid w:val="00803F63"/>
    <w:rsid w:val="00805734"/>
    <w:rsid w:val="008058FC"/>
    <w:rsid w:val="0080606E"/>
    <w:rsid w:val="00806EA7"/>
    <w:rsid w:val="00807B5C"/>
    <w:rsid w:val="00810813"/>
    <w:rsid w:val="008118F6"/>
    <w:rsid w:val="00811B0C"/>
    <w:rsid w:val="00812638"/>
    <w:rsid w:val="0081319F"/>
    <w:rsid w:val="008142D0"/>
    <w:rsid w:val="0081473C"/>
    <w:rsid w:val="0081499C"/>
    <w:rsid w:val="008153C4"/>
    <w:rsid w:val="00815D93"/>
    <w:rsid w:val="008204CD"/>
    <w:rsid w:val="00821B9A"/>
    <w:rsid w:val="00824A90"/>
    <w:rsid w:val="0082563F"/>
    <w:rsid w:val="00825705"/>
    <w:rsid w:val="00826010"/>
    <w:rsid w:val="00826529"/>
    <w:rsid w:val="00827014"/>
    <w:rsid w:val="00831CCF"/>
    <w:rsid w:val="00832830"/>
    <w:rsid w:val="00833100"/>
    <w:rsid w:val="008333AC"/>
    <w:rsid w:val="008343F6"/>
    <w:rsid w:val="00834E6E"/>
    <w:rsid w:val="00837B32"/>
    <w:rsid w:val="00837BB7"/>
    <w:rsid w:val="00837D50"/>
    <w:rsid w:val="0084008D"/>
    <w:rsid w:val="0084037A"/>
    <w:rsid w:val="008425E2"/>
    <w:rsid w:val="0084485B"/>
    <w:rsid w:val="008453FA"/>
    <w:rsid w:val="0084603D"/>
    <w:rsid w:val="00846CAF"/>
    <w:rsid w:val="00847CC2"/>
    <w:rsid w:val="00853171"/>
    <w:rsid w:val="00854509"/>
    <w:rsid w:val="00854EBB"/>
    <w:rsid w:val="00855BF3"/>
    <w:rsid w:val="008563B7"/>
    <w:rsid w:val="008569D1"/>
    <w:rsid w:val="00856CC8"/>
    <w:rsid w:val="008570FA"/>
    <w:rsid w:val="0085711A"/>
    <w:rsid w:val="008604C1"/>
    <w:rsid w:val="008606CF"/>
    <w:rsid w:val="0086095D"/>
    <w:rsid w:val="00860CB1"/>
    <w:rsid w:val="00861B02"/>
    <w:rsid w:val="00861EB1"/>
    <w:rsid w:val="00862F39"/>
    <w:rsid w:val="00863134"/>
    <w:rsid w:val="008648CF"/>
    <w:rsid w:val="00865F95"/>
    <w:rsid w:val="0086672E"/>
    <w:rsid w:val="00871DA0"/>
    <w:rsid w:val="008721F5"/>
    <w:rsid w:val="00872613"/>
    <w:rsid w:val="008726C3"/>
    <w:rsid w:val="008731C0"/>
    <w:rsid w:val="00874A6F"/>
    <w:rsid w:val="00874EEF"/>
    <w:rsid w:val="008751E3"/>
    <w:rsid w:val="00875DC1"/>
    <w:rsid w:val="00875F97"/>
    <w:rsid w:val="0087670B"/>
    <w:rsid w:val="0088128A"/>
    <w:rsid w:val="00884020"/>
    <w:rsid w:val="00886B26"/>
    <w:rsid w:val="00887101"/>
    <w:rsid w:val="00890266"/>
    <w:rsid w:val="00891A74"/>
    <w:rsid w:val="00891B68"/>
    <w:rsid w:val="00891C35"/>
    <w:rsid w:val="00892459"/>
    <w:rsid w:val="00892808"/>
    <w:rsid w:val="00895363"/>
    <w:rsid w:val="00896663"/>
    <w:rsid w:val="00897370"/>
    <w:rsid w:val="008A0EAA"/>
    <w:rsid w:val="008A0ED4"/>
    <w:rsid w:val="008A19DE"/>
    <w:rsid w:val="008A2EC8"/>
    <w:rsid w:val="008A3E02"/>
    <w:rsid w:val="008A5459"/>
    <w:rsid w:val="008A56DB"/>
    <w:rsid w:val="008A5A49"/>
    <w:rsid w:val="008A5ECF"/>
    <w:rsid w:val="008A5FCF"/>
    <w:rsid w:val="008A7393"/>
    <w:rsid w:val="008A76DE"/>
    <w:rsid w:val="008A7F75"/>
    <w:rsid w:val="008B0CC7"/>
    <w:rsid w:val="008B0D23"/>
    <w:rsid w:val="008B2BBD"/>
    <w:rsid w:val="008B3245"/>
    <w:rsid w:val="008B4D4B"/>
    <w:rsid w:val="008B5BC1"/>
    <w:rsid w:val="008B6C85"/>
    <w:rsid w:val="008B74D2"/>
    <w:rsid w:val="008C117D"/>
    <w:rsid w:val="008C28FB"/>
    <w:rsid w:val="008C54BD"/>
    <w:rsid w:val="008C5BCA"/>
    <w:rsid w:val="008C7DAD"/>
    <w:rsid w:val="008D0742"/>
    <w:rsid w:val="008D0E78"/>
    <w:rsid w:val="008D0F3A"/>
    <w:rsid w:val="008D2E17"/>
    <w:rsid w:val="008D2F82"/>
    <w:rsid w:val="008D44A0"/>
    <w:rsid w:val="008D5260"/>
    <w:rsid w:val="008D5C79"/>
    <w:rsid w:val="008D5F63"/>
    <w:rsid w:val="008D65BF"/>
    <w:rsid w:val="008E02A4"/>
    <w:rsid w:val="008E0962"/>
    <w:rsid w:val="008E2C04"/>
    <w:rsid w:val="008E36D0"/>
    <w:rsid w:val="008E51CB"/>
    <w:rsid w:val="008E52A8"/>
    <w:rsid w:val="008E5449"/>
    <w:rsid w:val="008E56B6"/>
    <w:rsid w:val="008E6DE0"/>
    <w:rsid w:val="008F18D6"/>
    <w:rsid w:val="008F2AEF"/>
    <w:rsid w:val="008F3D4D"/>
    <w:rsid w:val="008F5D34"/>
    <w:rsid w:val="008F6605"/>
    <w:rsid w:val="008F6E4B"/>
    <w:rsid w:val="008F7574"/>
    <w:rsid w:val="009000D6"/>
    <w:rsid w:val="00900CDB"/>
    <w:rsid w:val="00900ECA"/>
    <w:rsid w:val="009011BF"/>
    <w:rsid w:val="009028D3"/>
    <w:rsid w:val="0090313B"/>
    <w:rsid w:val="00903A33"/>
    <w:rsid w:val="00905AC6"/>
    <w:rsid w:val="0090643B"/>
    <w:rsid w:val="00906C06"/>
    <w:rsid w:val="00907647"/>
    <w:rsid w:val="00910370"/>
    <w:rsid w:val="0091053B"/>
    <w:rsid w:val="00910EC1"/>
    <w:rsid w:val="0091157A"/>
    <w:rsid w:val="00911753"/>
    <w:rsid w:val="00912490"/>
    <w:rsid w:val="0091352C"/>
    <w:rsid w:val="00913A77"/>
    <w:rsid w:val="009142E3"/>
    <w:rsid w:val="009146A0"/>
    <w:rsid w:val="00915BFE"/>
    <w:rsid w:val="0091791F"/>
    <w:rsid w:val="00917AC2"/>
    <w:rsid w:val="00921837"/>
    <w:rsid w:val="009226F3"/>
    <w:rsid w:val="0092389B"/>
    <w:rsid w:val="009241DC"/>
    <w:rsid w:val="009247AF"/>
    <w:rsid w:val="009278AA"/>
    <w:rsid w:val="00930A5B"/>
    <w:rsid w:val="00932B45"/>
    <w:rsid w:val="0093302D"/>
    <w:rsid w:val="00934202"/>
    <w:rsid w:val="00935907"/>
    <w:rsid w:val="00936ADB"/>
    <w:rsid w:val="00937D80"/>
    <w:rsid w:val="00937D9A"/>
    <w:rsid w:val="0094050B"/>
    <w:rsid w:val="009414C0"/>
    <w:rsid w:val="00943575"/>
    <w:rsid w:val="00944F2C"/>
    <w:rsid w:val="009452EB"/>
    <w:rsid w:val="00945B6E"/>
    <w:rsid w:val="0094639C"/>
    <w:rsid w:val="00950057"/>
    <w:rsid w:val="00950F9C"/>
    <w:rsid w:val="0095137C"/>
    <w:rsid w:val="009537F0"/>
    <w:rsid w:val="00954DA3"/>
    <w:rsid w:val="00954FE1"/>
    <w:rsid w:val="00955A0C"/>
    <w:rsid w:val="00957382"/>
    <w:rsid w:val="00960906"/>
    <w:rsid w:val="00960FB9"/>
    <w:rsid w:val="00961D76"/>
    <w:rsid w:val="009625FB"/>
    <w:rsid w:val="00962A2C"/>
    <w:rsid w:val="00962EA1"/>
    <w:rsid w:val="00963971"/>
    <w:rsid w:val="00963F0B"/>
    <w:rsid w:val="00964062"/>
    <w:rsid w:val="009648BF"/>
    <w:rsid w:val="009671B2"/>
    <w:rsid w:val="0097086E"/>
    <w:rsid w:val="00972050"/>
    <w:rsid w:val="00972A76"/>
    <w:rsid w:val="00973386"/>
    <w:rsid w:val="00975A67"/>
    <w:rsid w:val="00976757"/>
    <w:rsid w:val="00976B54"/>
    <w:rsid w:val="009777C7"/>
    <w:rsid w:val="009803F7"/>
    <w:rsid w:val="009807F2"/>
    <w:rsid w:val="00980E77"/>
    <w:rsid w:val="009868BA"/>
    <w:rsid w:val="009868FF"/>
    <w:rsid w:val="00990B36"/>
    <w:rsid w:val="00991461"/>
    <w:rsid w:val="0099180C"/>
    <w:rsid w:val="00991C9F"/>
    <w:rsid w:val="00991CA1"/>
    <w:rsid w:val="009923B4"/>
    <w:rsid w:val="00992B0A"/>
    <w:rsid w:val="00992BB0"/>
    <w:rsid w:val="00993530"/>
    <w:rsid w:val="00993779"/>
    <w:rsid w:val="0099394E"/>
    <w:rsid w:val="00993BAA"/>
    <w:rsid w:val="00995126"/>
    <w:rsid w:val="00995DF2"/>
    <w:rsid w:val="00997A85"/>
    <w:rsid w:val="00997FF1"/>
    <w:rsid w:val="009A169D"/>
    <w:rsid w:val="009A1F2D"/>
    <w:rsid w:val="009A4CE8"/>
    <w:rsid w:val="009A7554"/>
    <w:rsid w:val="009A7A0A"/>
    <w:rsid w:val="009B05BA"/>
    <w:rsid w:val="009B2C12"/>
    <w:rsid w:val="009B3B60"/>
    <w:rsid w:val="009B4EAB"/>
    <w:rsid w:val="009B53EA"/>
    <w:rsid w:val="009B5455"/>
    <w:rsid w:val="009B69A3"/>
    <w:rsid w:val="009B796B"/>
    <w:rsid w:val="009B7BAB"/>
    <w:rsid w:val="009C1944"/>
    <w:rsid w:val="009C35F8"/>
    <w:rsid w:val="009C538D"/>
    <w:rsid w:val="009C5677"/>
    <w:rsid w:val="009C6C48"/>
    <w:rsid w:val="009C6D0F"/>
    <w:rsid w:val="009C6E16"/>
    <w:rsid w:val="009D0E88"/>
    <w:rsid w:val="009D283D"/>
    <w:rsid w:val="009D5943"/>
    <w:rsid w:val="009D678E"/>
    <w:rsid w:val="009D6DF3"/>
    <w:rsid w:val="009D6EC9"/>
    <w:rsid w:val="009E02FD"/>
    <w:rsid w:val="009E0A1D"/>
    <w:rsid w:val="009E1738"/>
    <w:rsid w:val="009E1AC6"/>
    <w:rsid w:val="009E1EC3"/>
    <w:rsid w:val="009E5383"/>
    <w:rsid w:val="009E5708"/>
    <w:rsid w:val="009E5B1C"/>
    <w:rsid w:val="009E6988"/>
    <w:rsid w:val="009E78E5"/>
    <w:rsid w:val="009E79E0"/>
    <w:rsid w:val="009F0CB3"/>
    <w:rsid w:val="009F1DB1"/>
    <w:rsid w:val="009F6208"/>
    <w:rsid w:val="00A00545"/>
    <w:rsid w:val="00A00CA7"/>
    <w:rsid w:val="00A0118C"/>
    <w:rsid w:val="00A01484"/>
    <w:rsid w:val="00A02217"/>
    <w:rsid w:val="00A02C1F"/>
    <w:rsid w:val="00A0351B"/>
    <w:rsid w:val="00A03D0E"/>
    <w:rsid w:val="00A04793"/>
    <w:rsid w:val="00A05AF3"/>
    <w:rsid w:val="00A05E29"/>
    <w:rsid w:val="00A05E7F"/>
    <w:rsid w:val="00A078B5"/>
    <w:rsid w:val="00A07C10"/>
    <w:rsid w:val="00A12B7E"/>
    <w:rsid w:val="00A13148"/>
    <w:rsid w:val="00A1314F"/>
    <w:rsid w:val="00A13861"/>
    <w:rsid w:val="00A13C89"/>
    <w:rsid w:val="00A14B54"/>
    <w:rsid w:val="00A15B46"/>
    <w:rsid w:val="00A15F53"/>
    <w:rsid w:val="00A16160"/>
    <w:rsid w:val="00A16A3C"/>
    <w:rsid w:val="00A16BAD"/>
    <w:rsid w:val="00A175CD"/>
    <w:rsid w:val="00A202C0"/>
    <w:rsid w:val="00A20F8A"/>
    <w:rsid w:val="00A21370"/>
    <w:rsid w:val="00A21570"/>
    <w:rsid w:val="00A229A8"/>
    <w:rsid w:val="00A2345A"/>
    <w:rsid w:val="00A24160"/>
    <w:rsid w:val="00A24918"/>
    <w:rsid w:val="00A25296"/>
    <w:rsid w:val="00A26345"/>
    <w:rsid w:val="00A26686"/>
    <w:rsid w:val="00A267AF"/>
    <w:rsid w:val="00A269BD"/>
    <w:rsid w:val="00A27326"/>
    <w:rsid w:val="00A27981"/>
    <w:rsid w:val="00A27D08"/>
    <w:rsid w:val="00A33084"/>
    <w:rsid w:val="00A330FC"/>
    <w:rsid w:val="00A353D3"/>
    <w:rsid w:val="00A36F24"/>
    <w:rsid w:val="00A40B90"/>
    <w:rsid w:val="00A41868"/>
    <w:rsid w:val="00A41A1A"/>
    <w:rsid w:val="00A41D94"/>
    <w:rsid w:val="00A4208A"/>
    <w:rsid w:val="00A42CD7"/>
    <w:rsid w:val="00A42F2D"/>
    <w:rsid w:val="00A4569B"/>
    <w:rsid w:val="00A465CA"/>
    <w:rsid w:val="00A46F6C"/>
    <w:rsid w:val="00A4744D"/>
    <w:rsid w:val="00A47DB7"/>
    <w:rsid w:val="00A501E5"/>
    <w:rsid w:val="00A50CAD"/>
    <w:rsid w:val="00A52379"/>
    <w:rsid w:val="00A53754"/>
    <w:rsid w:val="00A5670F"/>
    <w:rsid w:val="00A603D5"/>
    <w:rsid w:val="00A611F1"/>
    <w:rsid w:val="00A626C4"/>
    <w:rsid w:val="00A6369B"/>
    <w:rsid w:val="00A63E65"/>
    <w:rsid w:val="00A662DB"/>
    <w:rsid w:val="00A67894"/>
    <w:rsid w:val="00A67C5C"/>
    <w:rsid w:val="00A70A81"/>
    <w:rsid w:val="00A70C56"/>
    <w:rsid w:val="00A7202C"/>
    <w:rsid w:val="00A77287"/>
    <w:rsid w:val="00A774FD"/>
    <w:rsid w:val="00A77619"/>
    <w:rsid w:val="00A77E84"/>
    <w:rsid w:val="00A81238"/>
    <w:rsid w:val="00A81A2F"/>
    <w:rsid w:val="00A840AB"/>
    <w:rsid w:val="00A8473E"/>
    <w:rsid w:val="00A84A3A"/>
    <w:rsid w:val="00A84C6B"/>
    <w:rsid w:val="00A851D8"/>
    <w:rsid w:val="00A85437"/>
    <w:rsid w:val="00A86FFB"/>
    <w:rsid w:val="00A8708E"/>
    <w:rsid w:val="00A87AA7"/>
    <w:rsid w:val="00A91340"/>
    <w:rsid w:val="00A9182C"/>
    <w:rsid w:val="00A93548"/>
    <w:rsid w:val="00A937B7"/>
    <w:rsid w:val="00A950D8"/>
    <w:rsid w:val="00A95616"/>
    <w:rsid w:val="00A962E9"/>
    <w:rsid w:val="00AA0957"/>
    <w:rsid w:val="00AA1D23"/>
    <w:rsid w:val="00AA28F9"/>
    <w:rsid w:val="00AA4185"/>
    <w:rsid w:val="00AA4E5D"/>
    <w:rsid w:val="00AA646D"/>
    <w:rsid w:val="00AB084D"/>
    <w:rsid w:val="00AB0936"/>
    <w:rsid w:val="00AB0C97"/>
    <w:rsid w:val="00AB1201"/>
    <w:rsid w:val="00AB16B4"/>
    <w:rsid w:val="00AB1F22"/>
    <w:rsid w:val="00AB2002"/>
    <w:rsid w:val="00AB3917"/>
    <w:rsid w:val="00AB7973"/>
    <w:rsid w:val="00AB7DB5"/>
    <w:rsid w:val="00AC2260"/>
    <w:rsid w:val="00AC25DA"/>
    <w:rsid w:val="00AC30EE"/>
    <w:rsid w:val="00AC34E8"/>
    <w:rsid w:val="00AC3FCF"/>
    <w:rsid w:val="00AC6E4F"/>
    <w:rsid w:val="00AD1219"/>
    <w:rsid w:val="00AD14C2"/>
    <w:rsid w:val="00AD232C"/>
    <w:rsid w:val="00AD2611"/>
    <w:rsid w:val="00AD2862"/>
    <w:rsid w:val="00AD40E0"/>
    <w:rsid w:val="00AD66D0"/>
    <w:rsid w:val="00AD6881"/>
    <w:rsid w:val="00AE0347"/>
    <w:rsid w:val="00AE0890"/>
    <w:rsid w:val="00AE1257"/>
    <w:rsid w:val="00AE3E8A"/>
    <w:rsid w:val="00AE5B55"/>
    <w:rsid w:val="00AE63C8"/>
    <w:rsid w:val="00AE6EE8"/>
    <w:rsid w:val="00AF0A63"/>
    <w:rsid w:val="00AF125F"/>
    <w:rsid w:val="00AF1404"/>
    <w:rsid w:val="00AF2709"/>
    <w:rsid w:val="00AF365F"/>
    <w:rsid w:val="00AF3BD9"/>
    <w:rsid w:val="00AF3C07"/>
    <w:rsid w:val="00AF3F00"/>
    <w:rsid w:val="00AF49E7"/>
    <w:rsid w:val="00AF7197"/>
    <w:rsid w:val="00B00323"/>
    <w:rsid w:val="00B00AA3"/>
    <w:rsid w:val="00B0159C"/>
    <w:rsid w:val="00B02B75"/>
    <w:rsid w:val="00B03816"/>
    <w:rsid w:val="00B0427C"/>
    <w:rsid w:val="00B0486A"/>
    <w:rsid w:val="00B04B95"/>
    <w:rsid w:val="00B05D37"/>
    <w:rsid w:val="00B05F4A"/>
    <w:rsid w:val="00B065A0"/>
    <w:rsid w:val="00B06788"/>
    <w:rsid w:val="00B07566"/>
    <w:rsid w:val="00B1048E"/>
    <w:rsid w:val="00B10B67"/>
    <w:rsid w:val="00B127A4"/>
    <w:rsid w:val="00B133E2"/>
    <w:rsid w:val="00B13DA9"/>
    <w:rsid w:val="00B14C0A"/>
    <w:rsid w:val="00B215AA"/>
    <w:rsid w:val="00B21912"/>
    <w:rsid w:val="00B21BBD"/>
    <w:rsid w:val="00B2359C"/>
    <w:rsid w:val="00B235DA"/>
    <w:rsid w:val="00B24A85"/>
    <w:rsid w:val="00B2717E"/>
    <w:rsid w:val="00B27794"/>
    <w:rsid w:val="00B30D00"/>
    <w:rsid w:val="00B31801"/>
    <w:rsid w:val="00B324EA"/>
    <w:rsid w:val="00B336F7"/>
    <w:rsid w:val="00B339DD"/>
    <w:rsid w:val="00B359D3"/>
    <w:rsid w:val="00B36B54"/>
    <w:rsid w:val="00B36DC5"/>
    <w:rsid w:val="00B37635"/>
    <w:rsid w:val="00B40323"/>
    <w:rsid w:val="00B407AB"/>
    <w:rsid w:val="00B419F5"/>
    <w:rsid w:val="00B42176"/>
    <w:rsid w:val="00B423D4"/>
    <w:rsid w:val="00B424C1"/>
    <w:rsid w:val="00B4361F"/>
    <w:rsid w:val="00B45403"/>
    <w:rsid w:val="00B462F1"/>
    <w:rsid w:val="00B46946"/>
    <w:rsid w:val="00B47C9A"/>
    <w:rsid w:val="00B47DA2"/>
    <w:rsid w:val="00B51F6C"/>
    <w:rsid w:val="00B52149"/>
    <w:rsid w:val="00B5469E"/>
    <w:rsid w:val="00B56B0C"/>
    <w:rsid w:val="00B57102"/>
    <w:rsid w:val="00B63534"/>
    <w:rsid w:val="00B638E7"/>
    <w:rsid w:val="00B6457A"/>
    <w:rsid w:val="00B64843"/>
    <w:rsid w:val="00B64A2B"/>
    <w:rsid w:val="00B64FF8"/>
    <w:rsid w:val="00B709C2"/>
    <w:rsid w:val="00B71173"/>
    <w:rsid w:val="00B73944"/>
    <w:rsid w:val="00B75E0C"/>
    <w:rsid w:val="00B7739F"/>
    <w:rsid w:val="00B77A7E"/>
    <w:rsid w:val="00B80D90"/>
    <w:rsid w:val="00B81360"/>
    <w:rsid w:val="00B82533"/>
    <w:rsid w:val="00B831B9"/>
    <w:rsid w:val="00B83AD3"/>
    <w:rsid w:val="00B8458E"/>
    <w:rsid w:val="00B84965"/>
    <w:rsid w:val="00B85791"/>
    <w:rsid w:val="00B85FC1"/>
    <w:rsid w:val="00B86116"/>
    <w:rsid w:val="00B878F9"/>
    <w:rsid w:val="00B917F0"/>
    <w:rsid w:val="00B958AA"/>
    <w:rsid w:val="00B9694F"/>
    <w:rsid w:val="00B96B34"/>
    <w:rsid w:val="00B96E05"/>
    <w:rsid w:val="00B96E31"/>
    <w:rsid w:val="00B975DB"/>
    <w:rsid w:val="00BA0E66"/>
    <w:rsid w:val="00BA0EAE"/>
    <w:rsid w:val="00BA2057"/>
    <w:rsid w:val="00BA27C5"/>
    <w:rsid w:val="00BA2ADF"/>
    <w:rsid w:val="00BA3168"/>
    <w:rsid w:val="00BA3F73"/>
    <w:rsid w:val="00BA69BC"/>
    <w:rsid w:val="00BA6D94"/>
    <w:rsid w:val="00BA79F0"/>
    <w:rsid w:val="00BB0806"/>
    <w:rsid w:val="00BB0A85"/>
    <w:rsid w:val="00BB2333"/>
    <w:rsid w:val="00BB272C"/>
    <w:rsid w:val="00BB3AF8"/>
    <w:rsid w:val="00BB4DFB"/>
    <w:rsid w:val="00BB5AC8"/>
    <w:rsid w:val="00BB5B12"/>
    <w:rsid w:val="00BB60F6"/>
    <w:rsid w:val="00BB6858"/>
    <w:rsid w:val="00BB7F76"/>
    <w:rsid w:val="00BC02E7"/>
    <w:rsid w:val="00BC048A"/>
    <w:rsid w:val="00BC294A"/>
    <w:rsid w:val="00BC32ED"/>
    <w:rsid w:val="00BC338E"/>
    <w:rsid w:val="00BC3675"/>
    <w:rsid w:val="00BC43FB"/>
    <w:rsid w:val="00BC442B"/>
    <w:rsid w:val="00BC4432"/>
    <w:rsid w:val="00BC5B97"/>
    <w:rsid w:val="00BC6ECC"/>
    <w:rsid w:val="00BC70C1"/>
    <w:rsid w:val="00BC7221"/>
    <w:rsid w:val="00BD06CB"/>
    <w:rsid w:val="00BD224D"/>
    <w:rsid w:val="00BD2AC7"/>
    <w:rsid w:val="00BD3350"/>
    <w:rsid w:val="00BD365B"/>
    <w:rsid w:val="00BD3A14"/>
    <w:rsid w:val="00BD5AF6"/>
    <w:rsid w:val="00BD76A7"/>
    <w:rsid w:val="00BE167E"/>
    <w:rsid w:val="00BE17D6"/>
    <w:rsid w:val="00BE1EA2"/>
    <w:rsid w:val="00BE2068"/>
    <w:rsid w:val="00BE3366"/>
    <w:rsid w:val="00BE4942"/>
    <w:rsid w:val="00BE566B"/>
    <w:rsid w:val="00BE56E6"/>
    <w:rsid w:val="00BE6327"/>
    <w:rsid w:val="00BE6F50"/>
    <w:rsid w:val="00BE6FE8"/>
    <w:rsid w:val="00BE7A93"/>
    <w:rsid w:val="00BF0D55"/>
    <w:rsid w:val="00BF1542"/>
    <w:rsid w:val="00BF1DA2"/>
    <w:rsid w:val="00BF343C"/>
    <w:rsid w:val="00BF37F1"/>
    <w:rsid w:val="00BF643E"/>
    <w:rsid w:val="00C0312B"/>
    <w:rsid w:val="00C03996"/>
    <w:rsid w:val="00C03A7B"/>
    <w:rsid w:val="00C03CC6"/>
    <w:rsid w:val="00C052E1"/>
    <w:rsid w:val="00C05EBF"/>
    <w:rsid w:val="00C061C4"/>
    <w:rsid w:val="00C061E5"/>
    <w:rsid w:val="00C068C6"/>
    <w:rsid w:val="00C07A64"/>
    <w:rsid w:val="00C07DEE"/>
    <w:rsid w:val="00C07E5A"/>
    <w:rsid w:val="00C101CE"/>
    <w:rsid w:val="00C111D2"/>
    <w:rsid w:val="00C113ED"/>
    <w:rsid w:val="00C13161"/>
    <w:rsid w:val="00C13328"/>
    <w:rsid w:val="00C14CCC"/>
    <w:rsid w:val="00C15D23"/>
    <w:rsid w:val="00C15F9D"/>
    <w:rsid w:val="00C17630"/>
    <w:rsid w:val="00C17C85"/>
    <w:rsid w:val="00C17E56"/>
    <w:rsid w:val="00C231F4"/>
    <w:rsid w:val="00C23895"/>
    <w:rsid w:val="00C23DC0"/>
    <w:rsid w:val="00C246E4"/>
    <w:rsid w:val="00C24BDE"/>
    <w:rsid w:val="00C24E47"/>
    <w:rsid w:val="00C24EC0"/>
    <w:rsid w:val="00C30185"/>
    <w:rsid w:val="00C30295"/>
    <w:rsid w:val="00C307C1"/>
    <w:rsid w:val="00C31331"/>
    <w:rsid w:val="00C31BE3"/>
    <w:rsid w:val="00C34B87"/>
    <w:rsid w:val="00C34E26"/>
    <w:rsid w:val="00C35D39"/>
    <w:rsid w:val="00C35DC2"/>
    <w:rsid w:val="00C3632C"/>
    <w:rsid w:val="00C36886"/>
    <w:rsid w:val="00C36E40"/>
    <w:rsid w:val="00C3756D"/>
    <w:rsid w:val="00C41547"/>
    <w:rsid w:val="00C41C94"/>
    <w:rsid w:val="00C4203D"/>
    <w:rsid w:val="00C4363B"/>
    <w:rsid w:val="00C43F88"/>
    <w:rsid w:val="00C447F2"/>
    <w:rsid w:val="00C45767"/>
    <w:rsid w:val="00C4654E"/>
    <w:rsid w:val="00C473A7"/>
    <w:rsid w:val="00C50578"/>
    <w:rsid w:val="00C5226C"/>
    <w:rsid w:val="00C5329F"/>
    <w:rsid w:val="00C533B3"/>
    <w:rsid w:val="00C53482"/>
    <w:rsid w:val="00C53BF1"/>
    <w:rsid w:val="00C5576A"/>
    <w:rsid w:val="00C55C41"/>
    <w:rsid w:val="00C60954"/>
    <w:rsid w:val="00C61590"/>
    <w:rsid w:val="00C63E60"/>
    <w:rsid w:val="00C65583"/>
    <w:rsid w:val="00C65CF1"/>
    <w:rsid w:val="00C66E7C"/>
    <w:rsid w:val="00C67F01"/>
    <w:rsid w:val="00C713C2"/>
    <w:rsid w:val="00C731E4"/>
    <w:rsid w:val="00C7596F"/>
    <w:rsid w:val="00C75A25"/>
    <w:rsid w:val="00C770C9"/>
    <w:rsid w:val="00C778B0"/>
    <w:rsid w:val="00C77ABB"/>
    <w:rsid w:val="00C81068"/>
    <w:rsid w:val="00C84B70"/>
    <w:rsid w:val="00C86511"/>
    <w:rsid w:val="00C8664F"/>
    <w:rsid w:val="00C86EE4"/>
    <w:rsid w:val="00C90871"/>
    <w:rsid w:val="00C90EC6"/>
    <w:rsid w:val="00C9321C"/>
    <w:rsid w:val="00C935BA"/>
    <w:rsid w:val="00C9373B"/>
    <w:rsid w:val="00C93E2F"/>
    <w:rsid w:val="00C94065"/>
    <w:rsid w:val="00C95DCC"/>
    <w:rsid w:val="00C96ECF"/>
    <w:rsid w:val="00C97A32"/>
    <w:rsid w:val="00CA1125"/>
    <w:rsid w:val="00CA1B16"/>
    <w:rsid w:val="00CA1FE5"/>
    <w:rsid w:val="00CA2285"/>
    <w:rsid w:val="00CA384E"/>
    <w:rsid w:val="00CA3BCE"/>
    <w:rsid w:val="00CA4790"/>
    <w:rsid w:val="00CA4E58"/>
    <w:rsid w:val="00CA6598"/>
    <w:rsid w:val="00CA66BA"/>
    <w:rsid w:val="00CA6E5B"/>
    <w:rsid w:val="00CA703F"/>
    <w:rsid w:val="00CA7816"/>
    <w:rsid w:val="00CA7C7A"/>
    <w:rsid w:val="00CB01BA"/>
    <w:rsid w:val="00CB051C"/>
    <w:rsid w:val="00CB0E6A"/>
    <w:rsid w:val="00CB1FAA"/>
    <w:rsid w:val="00CB2844"/>
    <w:rsid w:val="00CB420C"/>
    <w:rsid w:val="00CB42A3"/>
    <w:rsid w:val="00CB4C64"/>
    <w:rsid w:val="00CB5598"/>
    <w:rsid w:val="00CB5C77"/>
    <w:rsid w:val="00CB5E95"/>
    <w:rsid w:val="00CB7004"/>
    <w:rsid w:val="00CB7F2C"/>
    <w:rsid w:val="00CC0B73"/>
    <w:rsid w:val="00CC287A"/>
    <w:rsid w:val="00CC401D"/>
    <w:rsid w:val="00CC4C7A"/>
    <w:rsid w:val="00CC4CA8"/>
    <w:rsid w:val="00CC5311"/>
    <w:rsid w:val="00CC6915"/>
    <w:rsid w:val="00CC719F"/>
    <w:rsid w:val="00CC7A70"/>
    <w:rsid w:val="00CD2B2A"/>
    <w:rsid w:val="00CD2C96"/>
    <w:rsid w:val="00CD2DE8"/>
    <w:rsid w:val="00CD3DC4"/>
    <w:rsid w:val="00CD6469"/>
    <w:rsid w:val="00CE0BBC"/>
    <w:rsid w:val="00CE0EFE"/>
    <w:rsid w:val="00CE3FCC"/>
    <w:rsid w:val="00CE5897"/>
    <w:rsid w:val="00CE69BE"/>
    <w:rsid w:val="00CE7C10"/>
    <w:rsid w:val="00CE7EB2"/>
    <w:rsid w:val="00CE7F6D"/>
    <w:rsid w:val="00CF0971"/>
    <w:rsid w:val="00CF1186"/>
    <w:rsid w:val="00CF25D0"/>
    <w:rsid w:val="00CF311F"/>
    <w:rsid w:val="00CF47F2"/>
    <w:rsid w:val="00CF5A70"/>
    <w:rsid w:val="00CF7C82"/>
    <w:rsid w:val="00D001B6"/>
    <w:rsid w:val="00D00366"/>
    <w:rsid w:val="00D00E9B"/>
    <w:rsid w:val="00D00FD9"/>
    <w:rsid w:val="00D015E0"/>
    <w:rsid w:val="00D02914"/>
    <w:rsid w:val="00D030C3"/>
    <w:rsid w:val="00D03257"/>
    <w:rsid w:val="00D03939"/>
    <w:rsid w:val="00D0418D"/>
    <w:rsid w:val="00D05C96"/>
    <w:rsid w:val="00D10846"/>
    <w:rsid w:val="00D10A66"/>
    <w:rsid w:val="00D1108E"/>
    <w:rsid w:val="00D119E6"/>
    <w:rsid w:val="00D13501"/>
    <w:rsid w:val="00D13914"/>
    <w:rsid w:val="00D13943"/>
    <w:rsid w:val="00D13B20"/>
    <w:rsid w:val="00D13E68"/>
    <w:rsid w:val="00D15323"/>
    <w:rsid w:val="00D16041"/>
    <w:rsid w:val="00D1798C"/>
    <w:rsid w:val="00D21EBA"/>
    <w:rsid w:val="00D22BC6"/>
    <w:rsid w:val="00D2340B"/>
    <w:rsid w:val="00D23681"/>
    <w:rsid w:val="00D242DF"/>
    <w:rsid w:val="00D2478A"/>
    <w:rsid w:val="00D24B37"/>
    <w:rsid w:val="00D24C28"/>
    <w:rsid w:val="00D24ED4"/>
    <w:rsid w:val="00D24F6F"/>
    <w:rsid w:val="00D27358"/>
    <w:rsid w:val="00D30D05"/>
    <w:rsid w:val="00D322F3"/>
    <w:rsid w:val="00D3310D"/>
    <w:rsid w:val="00D33335"/>
    <w:rsid w:val="00D335C0"/>
    <w:rsid w:val="00D33BB6"/>
    <w:rsid w:val="00D34574"/>
    <w:rsid w:val="00D34D4F"/>
    <w:rsid w:val="00D34FEF"/>
    <w:rsid w:val="00D35988"/>
    <w:rsid w:val="00D36DF3"/>
    <w:rsid w:val="00D412EE"/>
    <w:rsid w:val="00D416A8"/>
    <w:rsid w:val="00D41E24"/>
    <w:rsid w:val="00D42026"/>
    <w:rsid w:val="00D468DB"/>
    <w:rsid w:val="00D46A11"/>
    <w:rsid w:val="00D479DB"/>
    <w:rsid w:val="00D5031E"/>
    <w:rsid w:val="00D50D62"/>
    <w:rsid w:val="00D51047"/>
    <w:rsid w:val="00D51C90"/>
    <w:rsid w:val="00D53468"/>
    <w:rsid w:val="00D53CA9"/>
    <w:rsid w:val="00D5484B"/>
    <w:rsid w:val="00D55E19"/>
    <w:rsid w:val="00D560B3"/>
    <w:rsid w:val="00D56CD7"/>
    <w:rsid w:val="00D575EF"/>
    <w:rsid w:val="00D57891"/>
    <w:rsid w:val="00D627AC"/>
    <w:rsid w:val="00D6300B"/>
    <w:rsid w:val="00D645AB"/>
    <w:rsid w:val="00D646F2"/>
    <w:rsid w:val="00D64A97"/>
    <w:rsid w:val="00D65AED"/>
    <w:rsid w:val="00D668D9"/>
    <w:rsid w:val="00D66D7E"/>
    <w:rsid w:val="00D672B0"/>
    <w:rsid w:val="00D7020D"/>
    <w:rsid w:val="00D7193E"/>
    <w:rsid w:val="00D72BEA"/>
    <w:rsid w:val="00D74E2C"/>
    <w:rsid w:val="00D76EFC"/>
    <w:rsid w:val="00D771EC"/>
    <w:rsid w:val="00D777E6"/>
    <w:rsid w:val="00D77AA4"/>
    <w:rsid w:val="00D8069E"/>
    <w:rsid w:val="00D80C91"/>
    <w:rsid w:val="00D8119D"/>
    <w:rsid w:val="00D825F3"/>
    <w:rsid w:val="00D826E2"/>
    <w:rsid w:val="00D84BF1"/>
    <w:rsid w:val="00D860B7"/>
    <w:rsid w:val="00D90302"/>
    <w:rsid w:val="00D909F8"/>
    <w:rsid w:val="00D90D25"/>
    <w:rsid w:val="00D90D9A"/>
    <w:rsid w:val="00D91E2E"/>
    <w:rsid w:val="00D92250"/>
    <w:rsid w:val="00D92B2F"/>
    <w:rsid w:val="00D92CA0"/>
    <w:rsid w:val="00D92D64"/>
    <w:rsid w:val="00D93927"/>
    <w:rsid w:val="00D93D21"/>
    <w:rsid w:val="00D94480"/>
    <w:rsid w:val="00D945DF"/>
    <w:rsid w:val="00D94B15"/>
    <w:rsid w:val="00D94F00"/>
    <w:rsid w:val="00D965EB"/>
    <w:rsid w:val="00D96C6A"/>
    <w:rsid w:val="00D96CD8"/>
    <w:rsid w:val="00DA0B7B"/>
    <w:rsid w:val="00DA2834"/>
    <w:rsid w:val="00DA2E55"/>
    <w:rsid w:val="00DA3477"/>
    <w:rsid w:val="00DA3B26"/>
    <w:rsid w:val="00DA57C3"/>
    <w:rsid w:val="00DA650B"/>
    <w:rsid w:val="00DA70C8"/>
    <w:rsid w:val="00DA7A57"/>
    <w:rsid w:val="00DB2B1C"/>
    <w:rsid w:val="00DB36AE"/>
    <w:rsid w:val="00DB3F6C"/>
    <w:rsid w:val="00DB4088"/>
    <w:rsid w:val="00DB5EAC"/>
    <w:rsid w:val="00DB6EC0"/>
    <w:rsid w:val="00DB786D"/>
    <w:rsid w:val="00DB7CF6"/>
    <w:rsid w:val="00DC0984"/>
    <w:rsid w:val="00DC2404"/>
    <w:rsid w:val="00DC3905"/>
    <w:rsid w:val="00DC49E9"/>
    <w:rsid w:val="00DC560B"/>
    <w:rsid w:val="00DD0461"/>
    <w:rsid w:val="00DD0462"/>
    <w:rsid w:val="00DD36D0"/>
    <w:rsid w:val="00DD3F98"/>
    <w:rsid w:val="00DD718C"/>
    <w:rsid w:val="00DD73B2"/>
    <w:rsid w:val="00DD7D09"/>
    <w:rsid w:val="00DD7D21"/>
    <w:rsid w:val="00DD7E3A"/>
    <w:rsid w:val="00DD7F2A"/>
    <w:rsid w:val="00DD7F5E"/>
    <w:rsid w:val="00DE1789"/>
    <w:rsid w:val="00DE2378"/>
    <w:rsid w:val="00DE4181"/>
    <w:rsid w:val="00DE58DD"/>
    <w:rsid w:val="00DE76C9"/>
    <w:rsid w:val="00DF02EF"/>
    <w:rsid w:val="00DF2F87"/>
    <w:rsid w:val="00DF3902"/>
    <w:rsid w:val="00DF4412"/>
    <w:rsid w:val="00DF5873"/>
    <w:rsid w:val="00E000B6"/>
    <w:rsid w:val="00E0049B"/>
    <w:rsid w:val="00E00D48"/>
    <w:rsid w:val="00E01C46"/>
    <w:rsid w:val="00E0274E"/>
    <w:rsid w:val="00E03F53"/>
    <w:rsid w:val="00E06CBC"/>
    <w:rsid w:val="00E14371"/>
    <w:rsid w:val="00E14BD6"/>
    <w:rsid w:val="00E15A61"/>
    <w:rsid w:val="00E16D33"/>
    <w:rsid w:val="00E16F48"/>
    <w:rsid w:val="00E17D9B"/>
    <w:rsid w:val="00E219B4"/>
    <w:rsid w:val="00E24547"/>
    <w:rsid w:val="00E278A0"/>
    <w:rsid w:val="00E27BFA"/>
    <w:rsid w:val="00E352A7"/>
    <w:rsid w:val="00E355EB"/>
    <w:rsid w:val="00E35978"/>
    <w:rsid w:val="00E37205"/>
    <w:rsid w:val="00E40713"/>
    <w:rsid w:val="00E40FAF"/>
    <w:rsid w:val="00E41185"/>
    <w:rsid w:val="00E42192"/>
    <w:rsid w:val="00E42320"/>
    <w:rsid w:val="00E43637"/>
    <w:rsid w:val="00E44A90"/>
    <w:rsid w:val="00E45108"/>
    <w:rsid w:val="00E45EF5"/>
    <w:rsid w:val="00E50AC3"/>
    <w:rsid w:val="00E52E02"/>
    <w:rsid w:val="00E53C1A"/>
    <w:rsid w:val="00E53DCF"/>
    <w:rsid w:val="00E60421"/>
    <w:rsid w:val="00E6135B"/>
    <w:rsid w:val="00E6328F"/>
    <w:rsid w:val="00E70977"/>
    <w:rsid w:val="00E70DFE"/>
    <w:rsid w:val="00E70E38"/>
    <w:rsid w:val="00E70F78"/>
    <w:rsid w:val="00E71176"/>
    <w:rsid w:val="00E714A8"/>
    <w:rsid w:val="00E716DC"/>
    <w:rsid w:val="00E72A75"/>
    <w:rsid w:val="00E741A4"/>
    <w:rsid w:val="00E7464F"/>
    <w:rsid w:val="00E74B85"/>
    <w:rsid w:val="00E74DA6"/>
    <w:rsid w:val="00E8018A"/>
    <w:rsid w:val="00E818BE"/>
    <w:rsid w:val="00E82E92"/>
    <w:rsid w:val="00E86173"/>
    <w:rsid w:val="00E9023A"/>
    <w:rsid w:val="00E90322"/>
    <w:rsid w:val="00E926A1"/>
    <w:rsid w:val="00E93C14"/>
    <w:rsid w:val="00E945A5"/>
    <w:rsid w:val="00E94A12"/>
    <w:rsid w:val="00E94C2A"/>
    <w:rsid w:val="00E95619"/>
    <w:rsid w:val="00EA0429"/>
    <w:rsid w:val="00EA0697"/>
    <w:rsid w:val="00EA0B19"/>
    <w:rsid w:val="00EA12AE"/>
    <w:rsid w:val="00EA1B05"/>
    <w:rsid w:val="00EA21AB"/>
    <w:rsid w:val="00EA223F"/>
    <w:rsid w:val="00EA2C3C"/>
    <w:rsid w:val="00EA41AF"/>
    <w:rsid w:val="00EA49E3"/>
    <w:rsid w:val="00EA4A4F"/>
    <w:rsid w:val="00EA6521"/>
    <w:rsid w:val="00EA6A86"/>
    <w:rsid w:val="00EA77B7"/>
    <w:rsid w:val="00EA7873"/>
    <w:rsid w:val="00EB00F6"/>
    <w:rsid w:val="00EB021A"/>
    <w:rsid w:val="00EB02E7"/>
    <w:rsid w:val="00EB0519"/>
    <w:rsid w:val="00EB2A29"/>
    <w:rsid w:val="00EB4002"/>
    <w:rsid w:val="00EB46C0"/>
    <w:rsid w:val="00EB4FB7"/>
    <w:rsid w:val="00EB614F"/>
    <w:rsid w:val="00EB653E"/>
    <w:rsid w:val="00EB7534"/>
    <w:rsid w:val="00EB7BE3"/>
    <w:rsid w:val="00EC11BE"/>
    <w:rsid w:val="00EC1663"/>
    <w:rsid w:val="00EC1DE0"/>
    <w:rsid w:val="00EC2982"/>
    <w:rsid w:val="00EC2AD4"/>
    <w:rsid w:val="00EC3C09"/>
    <w:rsid w:val="00EC4D92"/>
    <w:rsid w:val="00EC4DDD"/>
    <w:rsid w:val="00EC7286"/>
    <w:rsid w:val="00EC7DF9"/>
    <w:rsid w:val="00EC7FAC"/>
    <w:rsid w:val="00ED08AE"/>
    <w:rsid w:val="00ED10DC"/>
    <w:rsid w:val="00ED2B68"/>
    <w:rsid w:val="00ED47CC"/>
    <w:rsid w:val="00ED4B21"/>
    <w:rsid w:val="00ED5E25"/>
    <w:rsid w:val="00ED618D"/>
    <w:rsid w:val="00ED6D28"/>
    <w:rsid w:val="00ED74C8"/>
    <w:rsid w:val="00ED781A"/>
    <w:rsid w:val="00EE0919"/>
    <w:rsid w:val="00EE4024"/>
    <w:rsid w:val="00EE4670"/>
    <w:rsid w:val="00EE7275"/>
    <w:rsid w:val="00EF2D93"/>
    <w:rsid w:val="00EF4A7B"/>
    <w:rsid w:val="00EF4BD6"/>
    <w:rsid w:val="00EF6340"/>
    <w:rsid w:val="00EF6505"/>
    <w:rsid w:val="00EF6A83"/>
    <w:rsid w:val="00EF721C"/>
    <w:rsid w:val="00EF73AD"/>
    <w:rsid w:val="00EF7709"/>
    <w:rsid w:val="00EF7C87"/>
    <w:rsid w:val="00F0061A"/>
    <w:rsid w:val="00F01A60"/>
    <w:rsid w:val="00F01EF0"/>
    <w:rsid w:val="00F04320"/>
    <w:rsid w:val="00F0466A"/>
    <w:rsid w:val="00F05257"/>
    <w:rsid w:val="00F05270"/>
    <w:rsid w:val="00F05558"/>
    <w:rsid w:val="00F0793F"/>
    <w:rsid w:val="00F07B76"/>
    <w:rsid w:val="00F105EC"/>
    <w:rsid w:val="00F119C0"/>
    <w:rsid w:val="00F122F8"/>
    <w:rsid w:val="00F126A9"/>
    <w:rsid w:val="00F13A69"/>
    <w:rsid w:val="00F13F6A"/>
    <w:rsid w:val="00F145A9"/>
    <w:rsid w:val="00F14991"/>
    <w:rsid w:val="00F16464"/>
    <w:rsid w:val="00F219F2"/>
    <w:rsid w:val="00F21B89"/>
    <w:rsid w:val="00F22D67"/>
    <w:rsid w:val="00F23DDE"/>
    <w:rsid w:val="00F23FAD"/>
    <w:rsid w:val="00F25390"/>
    <w:rsid w:val="00F271AC"/>
    <w:rsid w:val="00F27E73"/>
    <w:rsid w:val="00F302C3"/>
    <w:rsid w:val="00F30B81"/>
    <w:rsid w:val="00F31586"/>
    <w:rsid w:val="00F31817"/>
    <w:rsid w:val="00F325AD"/>
    <w:rsid w:val="00F3386E"/>
    <w:rsid w:val="00F338F4"/>
    <w:rsid w:val="00F33E4B"/>
    <w:rsid w:val="00F36D39"/>
    <w:rsid w:val="00F409FF"/>
    <w:rsid w:val="00F41334"/>
    <w:rsid w:val="00F41342"/>
    <w:rsid w:val="00F41828"/>
    <w:rsid w:val="00F4621C"/>
    <w:rsid w:val="00F46DEE"/>
    <w:rsid w:val="00F46F16"/>
    <w:rsid w:val="00F50AD4"/>
    <w:rsid w:val="00F5243D"/>
    <w:rsid w:val="00F540D3"/>
    <w:rsid w:val="00F5417F"/>
    <w:rsid w:val="00F57882"/>
    <w:rsid w:val="00F61A62"/>
    <w:rsid w:val="00F6208D"/>
    <w:rsid w:val="00F633D1"/>
    <w:rsid w:val="00F63912"/>
    <w:rsid w:val="00F665D0"/>
    <w:rsid w:val="00F66AC0"/>
    <w:rsid w:val="00F66F1F"/>
    <w:rsid w:val="00F67A4B"/>
    <w:rsid w:val="00F72071"/>
    <w:rsid w:val="00F72510"/>
    <w:rsid w:val="00F73248"/>
    <w:rsid w:val="00F73843"/>
    <w:rsid w:val="00F7479D"/>
    <w:rsid w:val="00F7486E"/>
    <w:rsid w:val="00F74F76"/>
    <w:rsid w:val="00F75870"/>
    <w:rsid w:val="00F75D77"/>
    <w:rsid w:val="00F76C1D"/>
    <w:rsid w:val="00F7743B"/>
    <w:rsid w:val="00F81C79"/>
    <w:rsid w:val="00F81FDC"/>
    <w:rsid w:val="00F84616"/>
    <w:rsid w:val="00F877BA"/>
    <w:rsid w:val="00F92E0C"/>
    <w:rsid w:val="00F94314"/>
    <w:rsid w:val="00F9625B"/>
    <w:rsid w:val="00F97AA0"/>
    <w:rsid w:val="00FA0D8E"/>
    <w:rsid w:val="00FA124A"/>
    <w:rsid w:val="00FA1A88"/>
    <w:rsid w:val="00FA1BBB"/>
    <w:rsid w:val="00FA2541"/>
    <w:rsid w:val="00FA29A5"/>
    <w:rsid w:val="00FA3DA4"/>
    <w:rsid w:val="00FA3F1F"/>
    <w:rsid w:val="00FA5A45"/>
    <w:rsid w:val="00FA62F5"/>
    <w:rsid w:val="00FA7C2D"/>
    <w:rsid w:val="00FB2626"/>
    <w:rsid w:val="00FB3751"/>
    <w:rsid w:val="00FB3F53"/>
    <w:rsid w:val="00FB4203"/>
    <w:rsid w:val="00FB5B88"/>
    <w:rsid w:val="00FB67C9"/>
    <w:rsid w:val="00FB70E0"/>
    <w:rsid w:val="00FB744C"/>
    <w:rsid w:val="00FB747B"/>
    <w:rsid w:val="00FC0031"/>
    <w:rsid w:val="00FC1F87"/>
    <w:rsid w:val="00FC210A"/>
    <w:rsid w:val="00FC2FD3"/>
    <w:rsid w:val="00FC322C"/>
    <w:rsid w:val="00FC4236"/>
    <w:rsid w:val="00FC5A90"/>
    <w:rsid w:val="00FC66BA"/>
    <w:rsid w:val="00FC6812"/>
    <w:rsid w:val="00FD0703"/>
    <w:rsid w:val="00FD0AB4"/>
    <w:rsid w:val="00FD1C34"/>
    <w:rsid w:val="00FD23F0"/>
    <w:rsid w:val="00FD2B9A"/>
    <w:rsid w:val="00FD556B"/>
    <w:rsid w:val="00FD574F"/>
    <w:rsid w:val="00FD6260"/>
    <w:rsid w:val="00FD6DB4"/>
    <w:rsid w:val="00FD6F86"/>
    <w:rsid w:val="00FE1C70"/>
    <w:rsid w:val="00FE2154"/>
    <w:rsid w:val="00FE4C9F"/>
    <w:rsid w:val="00FE4EA7"/>
    <w:rsid w:val="00FE5319"/>
    <w:rsid w:val="00FE640F"/>
    <w:rsid w:val="00FE6748"/>
    <w:rsid w:val="00FE6784"/>
    <w:rsid w:val="00FE6C85"/>
    <w:rsid w:val="00FF0E2B"/>
    <w:rsid w:val="00FF3CB8"/>
    <w:rsid w:val="00FF45BB"/>
    <w:rsid w:val="00FF566C"/>
    <w:rsid w:val="00FF65F8"/>
    <w:rsid w:val="00FF67BE"/>
    <w:rsid w:val="00FF7D04"/>
    <w:rsid w:val="1C7F2931"/>
    <w:rsid w:val="47C63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2"/>
    <w:qFormat/>
    <w:uiPriority w:val="9"/>
    <w:pPr>
      <w:keepNext/>
      <w:keepLines/>
      <w:spacing w:before="300" w:after="200" w:line="560" w:lineRule="exact"/>
      <w:ind w:firstLine="1044" w:firstLineChars="200"/>
      <w:jc w:val="left"/>
      <w:outlineLvl w:val="0"/>
    </w:pPr>
    <w:rPr>
      <w:rFonts w:ascii="Calibri" w:hAnsi="Calibri" w:eastAsia="黑体"/>
      <w:b/>
      <w:bCs/>
      <w:kern w:val="44"/>
      <w:sz w:val="36"/>
      <w:szCs w:val="44"/>
    </w:rPr>
  </w:style>
  <w:style w:type="paragraph" w:styleId="5">
    <w:name w:val="heading 2"/>
    <w:basedOn w:val="1"/>
    <w:next w:val="1"/>
    <w:link w:val="43"/>
    <w:qFormat/>
    <w:uiPriority w:val="9"/>
    <w:pPr>
      <w:keepNext/>
      <w:keepLines/>
      <w:spacing w:before="200" w:after="100" w:line="560" w:lineRule="exact"/>
      <w:ind w:firstLine="1044" w:firstLineChars="200"/>
      <w:jc w:val="left"/>
      <w:outlineLvl w:val="1"/>
    </w:pPr>
    <w:rPr>
      <w:rFonts w:ascii="Calibri Light" w:hAnsi="Calibri Light" w:eastAsia="楷体_GB2312"/>
      <w:b/>
      <w:bCs/>
      <w:kern w:val="0"/>
      <w:sz w:val="32"/>
      <w:szCs w:val="32"/>
    </w:rPr>
  </w:style>
  <w:style w:type="paragraph" w:styleId="6">
    <w:name w:val="heading 3"/>
    <w:basedOn w:val="1"/>
    <w:next w:val="1"/>
    <w:link w:val="37"/>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28"/>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29"/>
    <w:unhideWhenUsed/>
    <w:qFormat/>
    <w:uiPriority w:val="0"/>
    <w:pPr>
      <w:keepNext/>
      <w:keepLines/>
      <w:spacing w:before="280" w:after="290" w:line="372" w:lineRule="auto"/>
      <w:outlineLvl w:val="4"/>
    </w:pPr>
    <w:rPr>
      <w:b/>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0"/>
    <w:unhideWhenUsed/>
    <w:qFormat/>
    <w:uiPriority w:val="0"/>
    <w:pPr>
      <w:spacing w:after="120"/>
    </w:pPr>
  </w:style>
  <w:style w:type="paragraph" w:styleId="3">
    <w:name w:val="Body Text First Indent"/>
    <w:basedOn w:val="2"/>
    <w:link w:val="31"/>
    <w:qFormat/>
    <w:uiPriority w:val="0"/>
    <w:pPr>
      <w:ind w:firstLine="420" w:firstLineChars="100"/>
    </w:pPr>
  </w:style>
  <w:style w:type="paragraph" w:styleId="9">
    <w:name w:val="annotation text"/>
    <w:basedOn w:val="1"/>
    <w:link w:val="40"/>
    <w:semiHidden/>
    <w:unhideWhenUsed/>
    <w:qFormat/>
    <w:uiPriority w:val="99"/>
    <w:pPr>
      <w:jc w:val="left"/>
    </w:pPr>
  </w:style>
  <w:style w:type="paragraph" w:styleId="10">
    <w:name w:val="toc 3"/>
    <w:basedOn w:val="1"/>
    <w:next w:val="1"/>
    <w:unhideWhenUsed/>
    <w:qFormat/>
    <w:uiPriority w:val="39"/>
    <w:pPr>
      <w:widowControl/>
      <w:tabs>
        <w:tab w:val="right" w:leader="dot" w:pos="8296"/>
      </w:tabs>
      <w:spacing w:line="600" w:lineRule="exact"/>
      <w:ind w:left="440" w:firstLine="269" w:firstLineChars="84"/>
      <w:jc w:val="left"/>
    </w:pPr>
    <w:rPr>
      <w:rFonts w:asciiTheme="minorHAnsi" w:hAnsiTheme="minorHAnsi" w:eastAsiaTheme="minorEastAsia"/>
      <w:kern w:val="0"/>
      <w:sz w:val="22"/>
      <w:szCs w:val="22"/>
    </w:rPr>
  </w:style>
  <w:style w:type="paragraph" w:styleId="11">
    <w:name w:val="Plain Text"/>
    <w:basedOn w:val="1"/>
    <w:next w:val="7"/>
    <w:link w:val="32"/>
    <w:qFormat/>
    <w:uiPriority w:val="0"/>
    <w:rPr>
      <w:rFonts w:ascii="宋体" w:hAnsi="Courier New"/>
      <w:kern w:val="0"/>
      <w:sz w:val="20"/>
      <w:szCs w:val="21"/>
    </w:rPr>
  </w:style>
  <w:style w:type="paragraph" w:styleId="12">
    <w:name w:val="Body Text Indent 2"/>
    <w:basedOn w:val="1"/>
    <w:link w:val="38"/>
    <w:semiHidden/>
    <w:unhideWhenUsed/>
    <w:qFormat/>
    <w:uiPriority w:val="99"/>
    <w:pPr>
      <w:spacing w:after="120" w:line="480" w:lineRule="auto"/>
      <w:ind w:left="420" w:leftChars="200"/>
    </w:pPr>
  </w:style>
  <w:style w:type="paragraph" w:styleId="13">
    <w:name w:val="Balloon Text"/>
    <w:basedOn w:val="1"/>
    <w:link w:val="53"/>
    <w:semiHidden/>
    <w:unhideWhenUsed/>
    <w:qFormat/>
    <w:uiPriority w:val="99"/>
    <w:rPr>
      <w:sz w:val="18"/>
      <w:szCs w:val="18"/>
    </w:rPr>
  </w:style>
  <w:style w:type="paragraph" w:styleId="14">
    <w:name w:val="footer"/>
    <w:basedOn w:val="1"/>
    <w:link w:val="36"/>
    <w:unhideWhenUsed/>
    <w:qFormat/>
    <w:uiPriority w:val="99"/>
    <w:pPr>
      <w:tabs>
        <w:tab w:val="center" w:pos="4153"/>
        <w:tab w:val="right" w:pos="8306"/>
      </w:tabs>
      <w:snapToGrid w:val="0"/>
      <w:jc w:val="left"/>
    </w:pPr>
    <w:rPr>
      <w:sz w:val="18"/>
      <w:szCs w:val="18"/>
    </w:rPr>
  </w:style>
  <w:style w:type="paragraph" w:styleId="15">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tabs>
        <w:tab w:val="right" w:leader="dot" w:pos="8296"/>
      </w:tabs>
      <w:spacing w:line="600" w:lineRule="exact"/>
      <w:jc w:val="center"/>
    </w:pPr>
    <w:rPr>
      <w:rFonts w:eastAsia="黑体"/>
      <w:b/>
      <w:bCs/>
      <w:kern w:val="21"/>
      <w:sz w:val="32"/>
      <w:szCs w:val="32"/>
    </w:rPr>
  </w:style>
  <w:style w:type="paragraph" w:styleId="17">
    <w:name w:val="footnote text"/>
    <w:basedOn w:val="1"/>
    <w:link w:val="39"/>
    <w:semiHidden/>
    <w:unhideWhenUsed/>
    <w:qFormat/>
    <w:uiPriority w:val="99"/>
    <w:pPr>
      <w:snapToGrid w:val="0"/>
      <w:jc w:val="left"/>
    </w:pPr>
    <w:rPr>
      <w:sz w:val="18"/>
      <w:szCs w:val="18"/>
    </w:rPr>
  </w:style>
  <w:style w:type="paragraph" w:styleId="18">
    <w:name w:val="toc 2"/>
    <w:basedOn w:val="1"/>
    <w:next w:val="1"/>
    <w:unhideWhenUsed/>
    <w:qFormat/>
    <w:uiPriority w:val="39"/>
    <w:pPr>
      <w:widowControl/>
      <w:tabs>
        <w:tab w:val="right" w:leader="dot" w:pos="8296"/>
      </w:tabs>
      <w:spacing w:line="600" w:lineRule="exact"/>
      <w:ind w:left="220"/>
      <w:jc w:val="left"/>
    </w:pPr>
    <w:rPr>
      <w:rFonts w:eastAsia="楷体_GB2312"/>
      <w:b/>
      <w:bCs/>
      <w:kern w:val="21"/>
      <w:sz w:val="32"/>
      <w:szCs w:val="32"/>
    </w:rPr>
  </w:style>
  <w:style w:type="paragraph" w:styleId="19">
    <w:name w:val="Normal (Web)"/>
    <w:basedOn w:val="1"/>
    <w:qFormat/>
    <w:uiPriority w:val="99"/>
    <w:pPr>
      <w:spacing w:before="100" w:beforeAutospacing="1" w:after="100" w:afterAutospacing="1"/>
      <w:jc w:val="left"/>
    </w:pPr>
    <w:rPr>
      <w:rFonts w:ascii="Calibri" w:hAnsi="Calibri"/>
      <w:kern w:val="0"/>
      <w:sz w:val="24"/>
    </w:rPr>
  </w:style>
  <w:style w:type="paragraph" w:styleId="20">
    <w:name w:val="annotation subject"/>
    <w:basedOn w:val="9"/>
    <w:next w:val="9"/>
    <w:link w:val="41"/>
    <w:semiHidden/>
    <w:unhideWhenUsed/>
    <w:qFormat/>
    <w:uiPriority w:val="99"/>
    <w:rPr>
      <w:b/>
      <w:bCs/>
    </w:rPr>
  </w:style>
  <w:style w:type="table" w:styleId="22">
    <w:name w:val="Table Grid"/>
    <w:basedOn w:val="2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rPr>
  </w:style>
  <w:style w:type="character" w:styleId="26">
    <w:name w:val="annotation reference"/>
    <w:basedOn w:val="23"/>
    <w:semiHidden/>
    <w:unhideWhenUsed/>
    <w:qFormat/>
    <w:uiPriority w:val="99"/>
    <w:rPr>
      <w:sz w:val="21"/>
      <w:szCs w:val="21"/>
    </w:rPr>
  </w:style>
  <w:style w:type="character" w:styleId="27">
    <w:name w:val="footnote reference"/>
    <w:basedOn w:val="23"/>
    <w:semiHidden/>
    <w:unhideWhenUsed/>
    <w:qFormat/>
    <w:uiPriority w:val="99"/>
    <w:rPr>
      <w:vertAlign w:val="superscript"/>
    </w:rPr>
  </w:style>
  <w:style w:type="character" w:customStyle="1" w:styleId="28">
    <w:name w:val="标题 4 Char"/>
    <w:basedOn w:val="23"/>
    <w:link w:val="7"/>
    <w:qFormat/>
    <w:uiPriority w:val="0"/>
    <w:rPr>
      <w:rFonts w:ascii="Arial" w:hAnsi="Arial" w:eastAsia="黑体" w:cs="Times New Roman"/>
      <w:b/>
      <w:bCs/>
      <w:sz w:val="28"/>
      <w:szCs w:val="28"/>
    </w:rPr>
  </w:style>
  <w:style w:type="character" w:customStyle="1" w:styleId="29">
    <w:name w:val="标题 5 Char"/>
    <w:basedOn w:val="23"/>
    <w:link w:val="8"/>
    <w:qFormat/>
    <w:uiPriority w:val="0"/>
    <w:rPr>
      <w:rFonts w:ascii="Times New Roman" w:hAnsi="Times New Roman" w:eastAsia="宋体" w:cs="Times New Roman"/>
      <w:b/>
      <w:sz w:val="28"/>
      <w:szCs w:val="24"/>
    </w:rPr>
  </w:style>
  <w:style w:type="character" w:customStyle="1" w:styleId="30">
    <w:name w:val="正文文本 Char"/>
    <w:basedOn w:val="23"/>
    <w:link w:val="2"/>
    <w:qFormat/>
    <w:uiPriority w:val="0"/>
    <w:rPr>
      <w:rFonts w:ascii="Times New Roman" w:hAnsi="Times New Roman" w:eastAsia="宋体" w:cs="Times New Roman"/>
      <w:szCs w:val="24"/>
    </w:rPr>
  </w:style>
  <w:style w:type="character" w:customStyle="1" w:styleId="31">
    <w:name w:val="正文首行缩进 Char"/>
    <w:basedOn w:val="30"/>
    <w:link w:val="3"/>
    <w:qFormat/>
    <w:uiPriority w:val="0"/>
    <w:rPr>
      <w:rFonts w:ascii="Times New Roman" w:hAnsi="Times New Roman" w:eastAsia="宋体" w:cs="Times New Roman"/>
      <w:szCs w:val="24"/>
    </w:rPr>
  </w:style>
  <w:style w:type="character" w:customStyle="1" w:styleId="32">
    <w:name w:val="纯文本 Char"/>
    <w:basedOn w:val="23"/>
    <w:link w:val="11"/>
    <w:qFormat/>
    <w:uiPriority w:val="0"/>
    <w:rPr>
      <w:rFonts w:ascii="宋体" w:hAnsi="Courier New" w:eastAsia="宋体" w:cs="Times New Roman"/>
      <w:kern w:val="0"/>
      <w:sz w:val="20"/>
      <w:szCs w:val="21"/>
    </w:rPr>
  </w:style>
  <w:style w:type="paragraph" w:customStyle="1" w:styleId="33">
    <w:name w:val="表格文字"/>
    <w:basedOn w:val="1"/>
    <w:qFormat/>
    <w:uiPriority w:val="0"/>
    <w:pPr>
      <w:spacing w:before="25" w:after="25"/>
      <w:jc w:val="left"/>
    </w:pPr>
    <w:rPr>
      <w:bCs/>
      <w:spacing w:val="10"/>
      <w:kern w:val="0"/>
      <w:sz w:val="24"/>
      <w:szCs w:val="20"/>
    </w:rPr>
  </w:style>
  <w:style w:type="paragraph" w:styleId="34">
    <w:name w:val="List Paragraph"/>
    <w:basedOn w:val="1"/>
    <w:qFormat/>
    <w:uiPriority w:val="34"/>
    <w:pPr>
      <w:ind w:firstLine="420" w:firstLineChars="200"/>
    </w:pPr>
  </w:style>
  <w:style w:type="character" w:customStyle="1" w:styleId="35">
    <w:name w:val="页眉 Char"/>
    <w:basedOn w:val="23"/>
    <w:link w:val="15"/>
    <w:qFormat/>
    <w:uiPriority w:val="99"/>
    <w:rPr>
      <w:rFonts w:ascii="Times New Roman" w:hAnsi="Times New Roman" w:eastAsia="宋体" w:cs="Times New Roman"/>
      <w:sz w:val="18"/>
      <w:szCs w:val="18"/>
    </w:rPr>
  </w:style>
  <w:style w:type="character" w:customStyle="1" w:styleId="36">
    <w:name w:val="页脚 Char"/>
    <w:basedOn w:val="23"/>
    <w:link w:val="14"/>
    <w:qFormat/>
    <w:uiPriority w:val="99"/>
    <w:rPr>
      <w:rFonts w:ascii="Times New Roman" w:hAnsi="Times New Roman" w:eastAsia="宋体" w:cs="Times New Roman"/>
      <w:sz w:val="18"/>
      <w:szCs w:val="18"/>
    </w:rPr>
  </w:style>
  <w:style w:type="character" w:customStyle="1" w:styleId="37">
    <w:name w:val="标题 3 Char"/>
    <w:basedOn w:val="23"/>
    <w:link w:val="6"/>
    <w:qFormat/>
    <w:uiPriority w:val="9"/>
    <w:rPr>
      <w:rFonts w:ascii="Times New Roman" w:hAnsi="Times New Roman" w:eastAsia="宋体" w:cs="Times New Roman"/>
      <w:b/>
      <w:bCs/>
      <w:sz w:val="32"/>
      <w:szCs w:val="32"/>
    </w:rPr>
  </w:style>
  <w:style w:type="character" w:customStyle="1" w:styleId="38">
    <w:name w:val="正文文本缩进 2 Char"/>
    <w:basedOn w:val="23"/>
    <w:link w:val="12"/>
    <w:semiHidden/>
    <w:qFormat/>
    <w:uiPriority w:val="99"/>
    <w:rPr>
      <w:rFonts w:ascii="Times New Roman" w:hAnsi="Times New Roman" w:eastAsia="宋体" w:cs="Times New Roman"/>
      <w:szCs w:val="24"/>
    </w:rPr>
  </w:style>
  <w:style w:type="character" w:customStyle="1" w:styleId="39">
    <w:name w:val="脚注文本 Char"/>
    <w:basedOn w:val="23"/>
    <w:link w:val="17"/>
    <w:semiHidden/>
    <w:qFormat/>
    <w:uiPriority w:val="99"/>
    <w:rPr>
      <w:rFonts w:ascii="Times New Roman" w:hAnsi="Times New Roman" w:eastAsia="宋体" w:cs="Times New Roman"/>
      <w:sz w:val="18"/>
      <w:szCs w:val="18"/>
    </w:rPr>
  </w:style>
  <w:style w:type="character" w:customStyle="1" w:styleId="40">
    <w:name w:val="批注文字 Char"/>
    <w:basedOn w:val="23"/>
    <w:link w:val="9"/>
    <w:semiHidden/>
    <w:qFormat/>
    <w:uiPriority w:val="99"/>
    <w:rPr>
      <w:rFonts w:ascii="Times New Roman" w:hAnsi="Times New Roman" w:eastAsia="宋体" w:cs="Times New Roman"/>
      <w:szCs w:val="24"/>
    </w:rPr>
  </w:style>
  <w:style w:type="character" w:customStyle="1" w:styleId="41">
    <w:name w:val="批注主题 Char"/>
    <w:basedOn w:val="40"/>
    <w:link w:val="20"/>
    <w:semiHidden/>
    <w:qFormat/>
    <w:uiPriority w:val="99"/>
    <w:rPr>
      <w:rFonts w:ascii="Times New Roman" w:hAnsi="Times New Roman" w:eastAsia="宋体" w:cs="Times New Roman"/>
      <w:b/>
      <w:bCs/>
      <w:szCs w:val="24"/>
    </w:rPr>
  </w:style>
  <w:style w:type="character" w:customStyle="1" w:styleId="42">
    <w:name w:val="标题 1 Char"/>
    <w:basedOn w:val="23"/>
    <w:link w:val="4"/>
    <w:qFormat/>
    <w:uiPriority w:val="9"/>
    <w:rPr>
      <w:rFonts w:ascii="Calibri" w:hAnsi="Calibri" w:eastAsia="黑体" w:cs="Times New Roman"/>
      <w:b/>
      <w:bCs/>
      <w:kern w:val="44"/>
      <w:sz w:val="36"/>
      <w:szCs w:val="44"/>
    </w:rPr>
  </w:style>
  <w:style w:type="character" w:customStyle="1" w:styleId="43">
    <w:name w:val="标题 2 Char"/>
    <w:basedOn w:val="23"/>
    <w:link w:val="5"/>
    <w:qFormat/>
    <w:uiPriority w:val="9"/>
    <w:rPr>
      <w:rFonts w:ascii="Calibri Light" w:hAnsi="Calibri Light" w:eastAsia="楷体_GB2312" w:cs="Times New Roman"/>
      <w:b/>
      <w:bCs/>
      <w:kern w:val="0"/>
      <w:sz w:val="32"/>
      <w:szCs w:val="32"/>
    </w:rPr>
  </w:style>
  <w:style w:type="paragraph" w:styleId="4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5">
    <w:name w:val="fontstyle01"/>
    <w:basedOn w:val="23"/>
    <w:qFormat/>
    <w:uiPriority w:val="0"/>
    <w:rPr>
      <w:rFonts w:hint="eastAsia" w:ascii="仿宋_GB2312" w:eastAsia="仿宋_GB2312"/>
      <w:color w:val="000000"/>
      <w:sz w:val="32"/>
      <w:szCs w:val="32"/>
    </w:rPr>
  </w:style>
  <w:style w:type="paragraph" w:customStyle="1" w:styleId="46">
    <w:name w:val="WPSOffice手动目录 1"/>
    <w:qFormat/>
    <w:uiPriority w:val="0"/>
    <w:rPr>
      <w:rFonts w:asciiTheme="minorHAnsi" w:hAnsiTheme="minorHAnsi" w:eastAsiaTheme="minorEastAsia" w:cstheme="minorBidi"/>
      <w:kern w:val="0"/>
      <w:sz w:val="20"/>
      <w:szCs w:val="20"/>
      <w:lang w:val="en-US" w:eastAsia="zh-CN" w:bidi="ar-SA"/>
    </w:rPr>
  </w:style>
  <w:style w:type="paragraph" w:customStyle="1" w:styleId="47">
    <w:name w:val="_Style 1"/>
    <w:basedOn w:val="1"/>
    <w:qFormat/>
    <w:uiPriority w:val="99"/>
    <w:pPr>
      <w:ind w:firstLine="420" w:firstLineChars="200"/>
    </w:pPr>
    <w:rPr>
      <w:rFonts w:ascii="等线" w:hAnsi="等线" w:eastAsia="等线"/>
      <w:szCs w:val="22"/>
    </w:rPr>
  </w:style>
  <w:style w:type="character" w:customStyle="1" w:styleId="48">
    <w:name w:val="fontstyle11"/>
    <w:basedOn w:val="23"/>
    <w:qFormat/>
    <w:uiPriority w:val="0"/>
    <w:rPr>
      <w:rFonts w:hint="eastAsia" w:ascii="仿宋_GB2312" w:eastAsia="仿宋_GB2312"/>
      <w:color w:val="000000"/>
      <w:sz w:val="32"/>
      <w:szCs w:val="32"/>
    </w:rPr>
  </w:style>
  <w:style w:type="character" w:customStyle="1" w:styleId="49">
    <w:name w:val="fontstyle31"/>
    <w:basedOn w:val="23"/>
    <w:qFormat/>
    <w:uiPriority w:val="0"/>
    <w:rPr>
      <w:rFonts w:hint="default" w:ascii="Times New Roman" w:hAnsi="Times New Roman" w:cs="Times New Roman"/>
      <w:color w:val="000000"/>
      <w:sz w:val="32"/>
      <w:szCs w:val="32"/>
    </w:rPr>
  </w:style>
  <w:style w:type="paragraph" w:customStyle="1" w:styleId="50">
    <w:name w:val="TOC Heading"/>
    <w:basedOn w:val="4"/>
    <w:next w:val="1"/>
    <w:unhideWhenUsed/>
    <w:qFormat/>
    <w:uiPriority w:val="39"/>
    <w:pPr>
      <w:widowControl/>
      <w:spacing w:before="240" w:after="0" w:line="259" w:lineRule="auto"/>
      <w:ind w:firstLine="0" w:firstLineChars="0"/>
      <w:outlineLvl w:val="9"/>
    </w:pPr>
    <w:rPr>
      <w:rFonts w:asciiTheme="majorHAnsi" w:hAnsiTheme="majorHAnsi" w:eastAsiaTheme="majorEastAsia" w:cstheme="majorBidi"/>
      <w:b w:val="0"/>
      <w:bCs w:val="0"/>
      <w:color w:val="2E75B5" w:themeColor="accent1" w:themeShade="BF"/>
      <w:kern w:val="0"/>
      <w:sz w:val="32"/>
      <w:szCs w:val="32"/>
    </w:rPr>
  </w:style>
  <w:style w:type="paragraph" w:customStyle="1" w:styleId="51">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52">
    <w:name w:val="Unresolved Mention"/>
    <w:basedOn w:val="23"/>
    <w:semiHidden/>
    <w:unhideWhenUsed/>
    <w:qFormat/>
    <w:uiPriority w:val="99"/>
    <w:rPr>
      <w:color w:val="605E5C"/>
      <w:shd w:val="clear" w:color="auto" w:fill="E1DFDD"/>
    </w:rPr>
  </w:style>
  <w:style w:type="character" w:customStyle="1" w:styleId="53">
    <w:name w:val="批注框文本 Char"/>
    <w:basedOn w:val="23"/>
    <w:link w:val="1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package" Target="embeddings/Microsoft_Visio___1.vsdx"/><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7A106-6339-47B9-A308-06B0FACFEDA8}">
  <ds:schemaRefs/>
</ds:datastoreItem>
</file>

<file path=docProps/app.xml><?xml version="1.0" encoding="utf-8"?>
<Properties xmlns="http://schemas.openxmlformats.org/officeDocument/2006/extended-properties" xmlns:vt="http://schemas.openxmlformats.org/officeDocument/2006/docPropsVTypes">
  <Template>Normal.dotm</Template>
  <Pages>96</Pages>
  <Words>8310</Words>
  <Characters>47367</Characters>
  <Lines>394</Lines>
  <Paragraphs>111</Paragraphs>
  <TotalTime>1</TotalTime>
  <ScaleCrop>false</ScaleCrop>
  <LinksUpToDate>false</LinksUpToDate>
  <CharactersWithSpaces>55566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2022-01-21T05:04:00Z</dcterms:created>
  <dc:creator>123</dc:creator>
  <cp:lastModifiedBy>梁明明</cp:lastModifiedBy>
  <cp:lastPrinted>2022-01-18T07:01:00Z</cp:lastPrinted>
  <dcterms:modified xsi:type="dcterms:W3CDTF">2022-08-26T01:09:23Z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9DFF792213C84BF9A4F0BC9D7B23C533</vt:lpwstr>
  </property>
</Properties>
</file>